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AD0F" w14:textId="77777777" w:rsidR="00EE7A32" w:rsidRPr="00EE7A32" w:rsidRDefault="00EE7A32" w:rsidP="00EE7A32">
      <w:pPr>
        <w:pStyle w:val="Titolo1"/>
        <w:jc w:val="left"/>
        <w:rPr>
          <w:sz w:val="28"/>
          <w:szCs w:val="28"/>
        </w:rPr>
      </w:pPr>
      <w:r w:rsidRPr="00EE7A32">
        <w:rPr>
          <w:sz w:val="28"/>
          <w:szCs w:val="28"/>
        </w:rPr>
        <w:t>Carta dei Servizi per studenti iscritti ai corsi di laurea erogati in modalità prevalentemente a distanza</w:t>
      </w:r>
      <w:r w:rsidRPr="00EE7A32">
        <w:rPr>
          <w:i/>
          <w:iCs/>
          <w:sz w:val="28"/>
          <w:szCs w:val="28"/>
          <w:vertAlign w:val="superscript"/>
        </w:rPr>
        <w:footnoteReference w:id="1"/>
      </w:r>
    </w:p>
    <w:p w14:paraId="6D971B89" w14:textId="77777777" w:rsidR="00EE7A32" w:rsidRDefault="00EE7A32" w:rsidP="00EE7A32">
      <w:pPr>
        <w:pStyle w:val="Titolo1"/>
        <w:spacing w:line="240" w:lineRule="auto"/>
        <w:jc w:val="both"/>
      </w:pPr>
    </w:p>
    <w:p w14:paraId="5CD045F9" w14:textId="77777777" w:rsidR="00EE7A32" w:rsidRPr="00EE7A32" w:rsidRDefault="00EE7A32" w:rsidP="00EE7A32"/>
    <w:p w14:paraId="59083B66" w14:textId="77777777" w:rsidR="00EE7A32" w:rsidRPr="00EE7A32" w:rsidRDefault="00EE7A32" w:rsidP="00EE7A32">
      <w:pPr>
        <w:pStyle w:val="Titolo3"/>
      </w:pPr>
      <w:r w:rsidRPr="00EE7A32">
        <w:t>1. Introduzione</w:t>
      </w:r>
    </w:p>
    <w:p w14:paraId="2128537D" w14:textId="1F2288D1" w:rsid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>La presente Carta dei Servizi</w:t>
      </w:r>
      <w:r w:rsidRPr="00EE7A32">
        <w:rPr>
          <w:rFonts w:ascii="Garamond" w:hAnsi="Garamond"/>
          <w:sz w:val="24"/>
          <w:szCs w:val="24"/>
          <w:vertAlign w:val="superscript"/>
        </w:rPr>
        <w:footnoteReference w:id="2"/>
      </w:r>
      <w:r w:rsidRPr="00EE7A32">
        <w:rPr>
          <w:rFonts w:ascii="Garamond" w:hAnsi="Garamond"/>
          <w:sz w:val="24"/>
          <w:szCs w:val="24"/>
        </w:rPr>
        <w:t xml:space="preserve"> è rivolta agli studenti iscritti e </w:t>
      </w:r>
      <w:proofErr w:type="spellStart"/>
      <w:r w:rsidRPr="00EE7A32">
        <w:rPr>
          <w:rFonts w:ascii="Garamond" w:hAnsi="Garamond"/>
          <w:sz w:val="24"/>
          <w:szCs w:val="24"/>
        </w:rPr>
        <w:t>pre</w:t>
      </w:r>
      <w:proofErr w:type="spellEnd"/>
      <w:r w:rsidRPr="00EE7A32">
        <w:rPr>
          <w:rFonts w:ascii="Garamond" w:hAnsi="Garamond"/>
          <w:sz w:val="24"/>
          <w:szCs w:val="24"/>
        </w:rPr>
        <w:t>-iscritti a un corso di laurea dell’Ateneo erogato in modalità prevalentemente a distanza ai sensi della normativa vigente ha l’obiettivo di fornire una panoramica chiara e completa dei principali servizi, strumenti e modalità organizzative del corso. Il documento intende favorire l’autonomia degli studenti nell’accesso alle informazioni accademiche e la piena fruizione delle risorse offerte dall’Ateneo.</w:t>
      </w:r>
    </w:p>
    <w:p w14:paraId="10942A2C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</w:p>
    <w:p w14:paraId="231795BD" w14:textId="77777777" w:rsidR="00EE7A32" w:rsidRPr="00EE7A32" w:rsidRDefault="00EE7A32" w:rsidP="00EE7A32">
      <w:pPr>
        <w:pStyle w:val="Titolo3"/>
      </w:pPr>
      <w:r w:rsidRPr="00EE7A32">
        <w:t>2. Ambienti digitali per la didattica</w:t>
      </w:r>
    </w:p>
    <w:p w14:paraId="5AD83765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>I corsi di laurea dell’Ateneo e, in particolare, i corsi erogati in modalità prevalentemente a distanza, utilizzano piattaforme digitali quali ambienti dedicati per lo sviluppo dell'esperienza di apprendimento, la comunicazione e il monitoraggio delle attività formative.</w:t>
      </w:r>
    </w:p>
    <w:p w14:paraId="33D1FF53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 xml:space="preserve">La piattaforma </w:t>
      </w:r>
      <w:proofErr w:type="spellStart"/>
      <w:r w:rsidRPr="00EE7A32">
        <w:rPr>
          <w:rFonts w:ascii="Garamond" w:hAnsi="Garamond"/>
          <w:b/>
          <w:bCs/>
          <w:sz w:val="24"/>
          <w:szCs w:val="24"/>
        </w:rPr>
        <w:t>Everywhere</w:t>
      </w:r>
      <w:proofErr w:type="spellEnd"/>
      <w:r w:rsidRPr="00EE7A32">
        <w:rPr>
          <w:rFonts w:ascii="Garamond" w:hAnsi="Garamond"/>
          <w:sz w:val="24"/>
          <w:szCs w:val="24"/>
        </w:rPr>
        <w:t xml:space="preserve"> costituisce l’ambiente principale per l'architettura didattica degli insegnamenti e dei laboratori dei corsi erogati in modalità prevalentemente a distanza, ospitando e integrando le componenti proprie della didattica erogativa (TEL-DE) con quelle della didattica interattiva (TEL-DI), sia sincrona che asincrona. </w:t>
      </w:r>
    </w:p>
    <w:p w14:paraId="1A3CE0A1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 xml:space="preserve">Attraverso </w:t>
      </w:r>
      <w:proofErr w:type="spellStart"/>
      <w:r w:rsidRPr="00EE7A32">
        <w:rPr>
          <w:rFonts w:ascii="Garamond" w:hAnsi="Garamond"/>
          <w:sz w:val="24"/>
          <w:szCs w:val="24"/>
        </w:rPr>
        <w:t>Everywhere</w:t>
      </w:r>
      <w:proofErr w:type="spellEnd"/>
      <w:r w:rsidRPr="00EE7A32">
        <w:rPr>
          <w:rFonts w:ascii="Garamond" w:hAnsi="Garamond"/>
          <w:sz w:val="24"/>
          <w:szCs w:val="24"/>
        </w:rPr>
        <w:t xml:space="preserve"> gli studenti:</w:t>
      </w:r>
    </w:p>
    <w:p w14:paraId="2C825349" w14:textId="77777777" w:rsidR="00EE7A32" w:rsidRPr="00EE7A32" w:rsidRDefault="00EE7A32" w:rsidP="00EE7A3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 xml:space="preserve">fruiscono dei materiali della </w:t>
      </w:r>
      <w:r w:rsidRPr="00EE7A32">
        <w:rPr>
          <w:rFonts w:ascii="Garamond" w:hAnsi="Garamond"/>
          <w:b/>
          <w:bCs/>
          <w:sz w:val="24"/>
          <w:szCs w:val="24"/>
        </w:rPr>
        <w:t>didattica erogativa (TEL-DE)</w:t>
      </w:r>
      <w:r w:rsidRPr="00EE7A32">
        <w:rPr>
          <w:rFonts w:ascii="Garamond" w:hAnsi="Garamond"/>
          <w:sz w:val="24"/>
          <w:szCs w:val="24"/>
        </w:rPr>
        <w:t>, quali video-lezioni e risorse multimediali;</w:t>
      </w:r>
    </w:p>
    <w:p w14:paraId="1EC1E659" w14:textId="44D719AD" w:rsidR="00EE7A32" w:rsidRPr="00EE7A32" w:rsidRDefault="00EE7A32" w:rsidP="00EE7A3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 xml:space="preserve">partecipano alle attività di </w:t>
      </w:r>
      <w:r w:rsidRPr="00EE7A32">
        <w:rPr>
          <w:rFonts w:ascii="Garamond" w:hAnsi="Garamond"/>
          <w:b/>
          <w:bCs/>
          <w:sz w:val="24"/>
          <w:szCs w:val="24"/>
        </w:rPr>
        <w:t xml:space="preserve">didattica interattiva (TEL-DI) </w:t>
      </w:r>
      <w:r w:rsidRPr="00EE7A32">
        <w:rPr>
          <w:rFonts w:ascii="Garamond" w:hAnsi="Garamond"/>
          <w:sz w:val="24"/>
          <w:szCs w:val="24"/>
        </w:rPr>
        <w:t xml:space="preserve">ovvero Virtual </w:t>
      </w:r>
      <w:proofErr w:type="spellStart"/>
      <w:r w:rsidRPr="00EE7A32">
        <w:rPr>
          <w:rFonts w:ascii="Garamond" w:hAnsi="Garamond"/>
          <w:sz w:val="24"/>
          <w:szCs w:val="24"/>
        </w:rPr>
        <w:t>classroom</w:t>
      </w:r>
      <w:proofErr w:type="spellEnd"/>
      <w:r w:rsidRPr="00EE7A3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(VC) </w:t>
      </w:r>
      <w:r w:rsidRPr="00EE7A32">
        <w:rPr>
          <w:rFonts w:ascii="Garamond" w:hAnsi="Garamond"/>
          <w:sz w:val="24"/>
          <w:szCs w:val="24"/>
        </w:rPr>
        <w:t>sincrone;</w:t>
      </w:r>
    </w:p>
    <w:p w14:paraId="0FAE9B1C" w14:textId="77777777" w:rsidR="00EE7A32" w:rsidRPr="00EE7A32" w:rsidRDefault="00EE7A32" w:rsidP="00EE7A3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 xml:space="preserve">svolgono </w:t>
      </w:r>
      <w:r w:rsidRPr="00EE7A32">
        <w:rPr>
          <w:rFonts w:ascii="Garamond" w:hAnsi="Garamond"/>
          <w:b/>
          <w:bCs/>
          <w:sz w:val="24"/>
          <w:szCs w:val="24"/>
        </w:rPr>
        <w:t xml:space="preserve">didattica interattiva (TEL-DI) </w:t>
      </w:r>
      <w:r w:rsidRPr="00EE7A32">
        <w:rPr>
          <w:rFonts w:ascii="Garamond" w:hAnsi="Garamond"/>
          <w:sz w:val="24"/>
          <w:szCs w:val="24"/>
        </w:rPr>
        <w:t xml:space="preserve">ovvero elaborano e consegnano le </w:t>
      </w:r>
      <w:r w:rsidRPr="00EE7A32">
        <w:rPr>
          <w:rFonts w:ascii="Garamond" w:hAnsi="Garamond"/>
          <w:i/>
          <w:iCs/>
          <w:sz w:val="24"/>
          <w:szCs w:val="24"/>
        </w:rPr>
        <w:t>e-</w:t>
      </w:r>
      <w:proofErr w:type="spellStart"/>
      <w:r w:rsidRPr="00EE7A32">
        <w:rPr>
          <w:rFonts w:ascii="Garamond" w:hAnsi="Garamond"/>
          <w:i/>
          <w:iCs/>
          <w:sz w:val="24"/>
          <w:szCs w:val="24"/>
        </w:rPr>
        <w:t>tivity</w:t>
      </w:r>
      <w:proofErr w:type="spellEnd"/>
      <w:r w:rsidRPr="00EE7A32">
        <w:rPr>
          <w:rFonts w:ascii="Garamond" w:hAnsi="Garamond"/>
          <w:sz w:val="24"/>
          <w:szCs w:val="24"/>
        </w:rPr>
        <w:t xml:space="preserve"> asincrone;</w:t>
      </w:r>
    </w:p>
    <w:p w14:paraId="38812C2E" w14:textId="77777777" w:rsidR="00EE7A32" w:rsidRPr="00EE7A32" w:rsidRDefault="00EE7A32" w:rsidP="00EE7A3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 xml:space="preserve">ricevono </w:t>
      </w:r>
      <w:r w:rsidRPr="00EE7A32">
        <w:rPr>
          <w:rFonts w:ascii="Garamond" w:hAnsi="Garamond"/>
          <w:b/>
          <w:bCs/>
          <w:sz w:val="24"/>
          <w:szCs w:val="24"/>
        </w:rPr>
        <w:t>feedback formativi tracciati</w:t>
      </w:r>
      <w:r w:rsidRPr="00EE7A32">
        <w:rPr>
          <w:rFonts w:ascii="Garamond" w:hAnsi="Garamond"/>
          <w:sz w:val="24"/>
          <w:szCs w:val="24"/>
        </w:rPr>
        <w:t xml:space="preserve"> da parte del docente su quanto prodotto nelle </w:t>
      </w:r>
      <w:r w:rsidRPr="00EE7A32">
        <w:rPr>
          <w:rFonts w:ascii="Garamond" w:hAnsi="Garamond"/>
          <w:i/>
          <w:iCs/>
          <w:sz w:val="24"/>
          <w:szCs w:val="24"/>
        </w:rPr>
        <w:t>e-</w:t>
      </w:r>
      <w:proofErr w:type="spellStart"/>
      <w:r w:rsidRPr="00EE7A32">
        <w:rPr>
          <w:rFonts w:ascii="Garamond" w:hAnsi="Garamond"/>
          <w:i/>
          <w:iCs/>
          <w:sz w:val="24"/>
          <w:szCs w:val="24"/>
        </w:rPr>
        <w:t>tivity</w:t>
      </w:r>
      <w:proofErr w:type="spellEnd"/>
      <w:r w:rsidRPr="00EE7A32">
        <w:rPr>
          <w:rFonts w:ascii="Garamond" w:hAnsi="Garamond"/>
          <w:sz w:val="24"/>
          <w:szCs w:val="24"/>
        </w:rPr>
        <w:t>;</w:t>
      </w:r>
    </w:p>
    <w:p w14:paraId="4E88C497" w14:textId="77777777" w:rsidR="00EE7A32" w:rsidRPr="00EE7A32" w:rsidRDefault="00EE7A32" w:rsidP="00EE7A3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 xml:space="preserve">richiedono e ricevono supporto didattico e orientamento personalizzato da parte del tutor; </w:t>
      </w:r>
    </w:p>
    <w:p w14:paraId="6FEAB390" w14:textId="77777777" w:rsidR="00EE7A32" w:rsidRPr="00EE7A32" w:rsidRDefault="00EE7A32" w:rsidP="00EE7A3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 xml:space="preserve">possono richiedere al docente di consultare i </w:t>
      </w:r>
      <w:r w:rsidRPr="00EE7A32">
        <w:rPr>
          <w:rFonts w:ascii="Garamond" w:hAnsi="Garamond"/>
          <w:b/>
          <w:bCs/>
          <w:sz w:val="24"/>
          <w:szCs w:val="24"/>
        </w:rPr>
        <w:t>report di tracciamento</w:t>
      </w:r>
      <w:r w:rsidRPr="00EE7A32">
        <w:rPr>
          <w:rFonts w:ascii="Garamond" w:hAnsi="Garamond"/>
          <w:sz w:val="24"/>
          <w:szCs w:val="24"/>
        </w:rPr>
        <w:t xml:space="preserve"> delle attività svolte per l’insegnamento di cui è titolare il docente.</w:t>
      </w:r>
    </w:p>
    <w:p w14:paraId="19F78BEF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</w:p>
    <w:p w14:paraId="48C00399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>La piattaforma di Ateneo</w:t>
      </w:r>
      <w:r w:rsidRPr="00EE7A32">
        <w:rPr>
          <w:rFonts w:ascii="Garamond" w:hAnsi="Garamond"/>
          <w:b/>
          <w:bCs/>
          <w:sz w:val="24"/>
          <w:szCs w:val="24"/>
        </w:rPr>
        <w:t xml:space="preserve"> MYUNINT Studenti</w:t>
      </w:r>
      <w:r w:rsidRPr="00EE7A32">
        <w:rPr>
          <w:rFonts w:ascii="Garamond" w:hAnsi="Garamond"/>
          <w:sz w:val="24"/>
          <w:szCs w:val="24"/>
        </w:rPr>
        <w:t xml:space="preserve"> rappresenta il principale punto di accesso alle informazioni accademiche e alle risorse del corso e consente agli studenti immatricolati di:</w:t>
      </w:r>
    </w:p>
    <w:p w14:paraId="0956F221" w14:textId="77777777" w:rsidR="00EE7A32" w:rsidRPr="00EE7A32" w:rsidRDefault="00EE7A32" w:rsidP="00EE7A3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>consultare gli orari delle lezioni sincrone e pianificare la propria attività settimanale;</w:t>
      </w:r>
    </w:p>
    <w:p w14:paraId="6793A4E4" w14:textId="77777777" w:rsidR="00EE7A32" w:rsidRPr="00EE7A32" w:rsidRDefault="00EE7A32" w:rsidP="00EE7A3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>visualizzare la struttura dei corsi e il proprio piano di studi;</w:t>
      </w:r>
    </w:p>
    <w:p w14:paraId="2629B4EB" w14:textId="77777777" w:rsidR="00EE7A32" w:rsidRPr="00EE7A32" w:rsidRDefault="00EE7A32" w:rsidP="00EE7A3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>accedere ai materiali didattici e alle comunicazioni dei docenti;</w:t>
      </w:r>
    </w:p>
    <w:p w14:paraId="290E590A" w14:textId="77777777" w:rsidR="00EE7A32" w:rsidRPr="00EE7A32" w:rsidRDefault="00EE7A32" w:rsidP="00EE7A3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>accedere alla casella mail di Ateneo;</w:t>
      </w:r>
    </w:p>
    <w:p w14:paraId="267A9AEB" w14:textId="77777777" w:rsidR="00EE7A32" w:rsidRPr="00EE7A32" w:rsidRDefault="00EE7A32" w:rsidP="00EE7A3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>prenotarsi agli appelli d’esame secondo le modalità previste.</w:t>
      </w:r>
    </w:p>
    <w:p w14:paraId="4895EB62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</w:p>
    <w:p w14:paraId="3A73E96A" w14:textId="77777777" w:rsidR="00EE7A32" w:rsidRPr="00EE7A32" w:rsidRDefault="00EE7A32" w:rsidP="00EE7A32">
      <w:pPr>
        <w:pStyle w:val="Titolo3"/>
      </w:pPr>
      <w:r w:rsidRPr="00EE7A32">
        <w:lastRenderedPageBreak/>
        <w:t>3. Organizzazione e struttura degli insegnamenti e dei laboratori erogati in modalità prevalentemente a distanza</w:t>
      </w:r>
    </w:p>
    <w:p w14:paraId="0BCE670B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 xml:space="preserve">Nei corsi di laurea erogati in modalità prevalentemente a distanza le attività formative sono organizzate in modo da integrare </w:t>
      </w:r>
      <w:r w:rsidRPr="00EE7A32">
        <w:rPr>
          <w:rFonts w:ascii="Garamond" w:hAnsi="Garamond"/>
          <w:b/>
          <w:bCs/>
          <w:sz w:val="24"/>
          <w:szCs w:val="24"/>
        </w:rPr>
        <w:t>didattica erogativa (TEL-DE)</w:t>
      </w:r>
      <w:r w:rsidRPr="00EE7A32">
        <w:rPr>
          <w:rFonts w:ascii="Garamond" w:hAnsi="Garamond"/>
          <w:sz w:val="24"/>
          <w:szCs w:val="24"/>
        </w:rPr>
        <w:t xml:space="preserve"> e </w:t>
      </w:r>
      <w:r w:rsidRPr="00EE7A32">
        <w:rPr>
          <w:rFonts w:ascii="Garamond" w:hAnsi="Garamond"/>
          <w:b/>
          <w:bCs/>
          <w:sz w:val="24"/>
          <w:szCs w:val="24"/>
        </w:rPr>
        <w:t>didattica interattiva (TEL-DI)</w:t>
      </w:r>
      <w:r w:rsidRPr="00EE7A32">
        <w:rPr>
          <w:rFonts w:ascii="Garamond" w:hAnsi="Garamond"/>
          <w:sz w:val="24"/>
          <w:szCs w:val="24"/>
        </w:rPr>
        <w:t xml:space="preserve"> nel rispetto della normativa vigente e del Regolamento del Corso di Studio.</w:t>
      </w:r>
    </w:p>
    <w:p w14:paraId="0853DB2E" w14:textId="77777777" w:rsidR="00EE7A32" w:rsidRDefault="00EE7A32" w:rsidP="00EE7A3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EE7A32">
        <w:rPr>
          <w:rFonts w:ascii="Garamond" w:hAnsi="Garamond"/>
        </w:rPr>
        <w:t>Nel dettaglio, l’offerta formativa concernente gli insegnamenti e i laboratori, si articola come segue.</w:t>
      </w:r>
    </w:p>
    <w:p w14:paraId="752142BF" w14:textId="77777777" w:rsidR="00EE7A32" w:rsidRPr="00EE7A32" w:rsidRDefault="00EE7A32" w:rsidP="00EE7A32">
      <w:pPr>
        <w:pStyle w:val="NormaleWeb"/>
        <w:spacing w:before="0" w:beforeAutospacing="0" w:after="0" w:afterAutospacing="0"/>
        <w:jc w:val="both"/>
        <w:rPr>
          <w:rFonts w:ascii="Garamond" w:eastAsia="Calibri" w:hAnsi="Garamond" w:cs="Calibri"/>
        </w:rPr>
      </w:pPr>
    </w:p>
    <w:p w14:paraId="140C2072" w14:textId="77777777" w:rsidR="00EE7A32" w:rsidRPr="00EE7A32" w:rsidRDefault="00EE7A32" w:rsidP="00EE7A32">
      <w:pPr>
        <w:spacing w:line="240" w:lineRule="auto"/>
        <w:rPr>
          <w:rFonts w:ascii="Garamond" w:hAnsi="Garamond"/>
          <w:b/>
          <w:bCs/>
          <w:sz w:val="24"/>
          <w:szCs w:val="24"/>
        </w:rPr>
      </w:pPr>
      <w:r w:rsidRPr="00EE7A32">
        <w:rPr>
          <w:rFonts w:ascii="Garamond" w:hAnsi="Garamond"/>
          <w:b/>
          <w:bCs/>
          <w:sz w:val="24"/>
          <w:szCs w:val="24"/>
        </w:rPr>
        <w:t>INSEGNAMENTI</w:t>
      </w:r>
    </w:p>
    <w:p w14:paraId="304579C0" w14:textId="77777777" w:rsidR="00EE7A32" w:rsidRPr="00EE7A32" w:rsidRDefault="00EE7A32" w:rsidP="00EE7A32">
      <w:pPr>
        <w:pStyle w:val="NormaleWeb"/>
        <w:spacing w:before="0" w:beforeAutospacing="0" w:after="0" w:afterAutospacing="0"/>
        <w:jc w:val="both"/>
        <w:rPr>
          <w:rFonts w:ascii="Garamond" w:eastAsia="Calibri" w:hAnsi="Garamond" w:cs="Calibri"/>
        </w:rPr>
      </w:pPr>
      <w:r w:rsidRPr="00EE7A32">
        <w:rPr>
          <w:rFonts w:ascii="Garamond" w:hAnsi="Garamond"/>
        </w:rPr>
        <w:t>Ciascun insegnamento prevede:</w:t>
      </w:r>
    </w:p>
    <w:p w14:paraId="745C8766" w14:textId="77777777" w:rsidR="00EE7A32" w:rsidRPr="00EE7A32" w:rsidRDefault="00EE7A32" w:rsidP="00EE7A32">
      <w:pPr>
        <w:pStyle w:val="NormaleWeb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both"/>
        <w:rPr>
          <w:rFonts w:ascii="Garamond" w:hAnsi="Garamond"/>
        </w:rPr>
      </w:pPr>
      <w:r w:rsidRPr="00EE7A32">
        <w:rPr>
          <w:rFonts w:ascii="Garamond" w:hAnsi="Garamond"/>
        </w:rPr>
        <w:t xml:space="preserve">attività di </w:t>
      </w:r>
      <w:r w:rsidRPr="00EE7A32">
        <w:rPr>
          <w:rStyle w:val="Enfasigrassetto"/>
          <w:rFonts w:ascii="Garamond" w:eastAsiaTheme="majorEastAsia" w:hAnsi="Garamond"/>
        </w:rPr>
        <w:t>didattica erogativa (TEL-DE)</w:t>
      </w:r>
    </w:p>
    <w:p w14:paraId="1CC34D4B" w14:textId="77777777" w:rsidR="00EE7A32" w:rsidRPr="00EE7A32" w:rsidRDefault="00EE7A32" w:rsidP="00EE7A32">
      <w:pPr>
        <w:pStyle w:val="NormaleWeb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both"/>
        <w:rPr>
          <w:rFonts w:ascii="Garamond" w:hAnsi="Garamond"/>
        </w:rPr>
      </w:pPr>
      <w:r w:rsidRPr="00EE7A32">
        <w:rPr>
          <w:rFonts w:ascii="Garamond" w:hAnsi="Garamond"/>
        </w:rPr>
        <w:t xml:space="preserve">attività di </w:t>
      </w:r>
      <w:r w:rsidRPr="00EE7A32">
        <w:rPr>
          <w:rStyle w:val="Enfasigrassetto"/>
          <w:rFonts w:ascii="Garamond" w:eastAsiaTheme="majorEastAsia" w:hAnsi="Garamond"/>
        </w:rPr>
        <w:t>didattica interattiva (TEL-DI)</w:t>
      </w:r>
    </w:p>
    <w:p w14:paraId="0B78E5D4" w14:textId="77777777" w:rsidR="00EE7A32" w:rsidRPr="00EE7A32" w:rsidRDefault="00EE7A32" w:rsidP="00EE7A32">
      <w:pPr>
        <w:pStyle w:val="NormaleWeb"/>
        <w:spacing w:before="0" w:beforeAutospacing="0" w:after="0" w:afterAutospacing="0"/>
        <w:jc w:val="both"/>
        <w:rPr>
          <w:rFonts w:ascii="Garamond" w:eastAsia="Calibri" w:hAnsi="Garamond" w:cs="Calibri"/>
        </w:rPr>
      </w:pPr>
      <w:r w:rsidRPr="00EE7A32">
        <w:rPr>
          <w:rFonts w:ascii="Garamond" w:hAnsi="Garamond"/>
        </w:rPr>
        <w:t>La didattica erogativa (TEL-DE) prevede la fruizione di lezioni audio-video preregistrate corredate da risorse digitali e materiali multimediali.</w:t>
      </w:r>
    </w:p>
    <w:p w14:paraId="3815B69B" w14:textId="77777777" w:rsidR="00EE7A32" w:rsidRPr="00EE7A32" w:rsidRDefault="00EE7A32" w:rsidP="00EE7A32">
      <w:pPr>
        <w:pStyle w:val="NormaleWeb"/>
        <w:spacing w:before="0" w:beforeAutospacing="0" w:after="0" w:afterAutospacing="0"/>
        <w:jc w:val="both"/>
        <w:rPr>
          <w:rFonts w:ascii="Garamond" w:eastAsia="Calibri" w:hAnsi="Garamond" w:cs="Calibri"/>
        </w:rPr>
      </w:pPr>
      <w:r w:rsidRPr="00EE7A32">
        <w:rPr>
          <w:rFonts w:ascii="Garamond" w:hAnsi="Garamond"/>
        </w:rPr>
        <w:t xml:space="preserve">La didattica interattiva (TEL-DI) è concepita come </w:t>
      </w:r>
      <w:r w:rsidRPr="00EE7A32">
        <w:rPr>
          <w:rFonts w:ascii="Garamond" w:hAnsi="Garamond"/>
          <w:b/>
          <w:bCs/>
        </w:rPr>
        <w:t>modulo unitario</w:t>
      </w:r>
      <w:r w:rsidRPr="00EE7A32">
        <w:rPr>
          <w:rFonts w:ascii="Garamond" w:hAnsi="Garamond"/>
        </w:rPr>
        <w:t xml:space="preserve"> articolato in una componente </w:t>
      </w:r>
      <w:r w:rsidRPr="00EE7A32">
        <w:rPr>
          <w:rFonts w:ascii="Garamond" w:hAnsi="Garamond"/>
          <w:i/>
          <w:iCs/>
        </w:rPr>
        <w:t>sincrona</w:t>
      </w:r>
      <w:r w:rsidRPr="00EE7A32">
        <w:rPr>
          <w:rFonts w:ascii="Garamond" w:hAnsi="Garamond"/>
        </w:rPr>
        <w:t xml:space="preserve"> e in una componente </w:t>
      </w:r>
      <w:r w:rsidRPr="00EE7A32">
        <w:rPr>
          <w:rFonts w:ascii="Garamond" w:hAnsi="Garamond"/>
          <w:i/>
          <w:iCs/>
        </w:rPr>
        <w:t>asincrona</w:t>
      </w:r>
      <w:r w:rsidRPr="00EE7A32">
        <w:rPr>
          <w:rFonts w:ascii="Garamond" w:hAnsi="Garamond"/>
        </w:rPr>
        <w:t xml:space="preserve">, progettate in modo integrato per garantire un equilibrio costante tra interazione in tempo reale e lavoro autonomo guidato. In particolare: </w:t>
      </w:r>
    </w:p>
    <w:p w14:paraId="340B21D0" w14:textId="715DDB60" w:rsidR="00EE7A32" w:rsidRPr="00EE7A32" w:rsidRDefault="00EE7A32" w:rsidP="00EE7A32">
      <w:pPr>
        <w:pStyle w:val="NormaleWeb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both"/>
        <w:rPr>
          <w:rFonts w:ascii="Garamond" w:hAnsi="Garamond"/>
        </w:rPr>
      </w:pPr>
      <w:r w:rsidRPr="00EE7A32">
        <w:rPr>
          <w:rStyle w:val="Enfasigrassetto"/>
          <w:rFonts w:ascii="Garamond" w:eastAsiaTheme="majorEastAsia" w:hAnsi="Garamond"/>
        </w:rPr>
        <w:t>(TEL-DI sincrona)</w:t>
      </w:r>
      <w:r w:rsidRPr="00EE7A32">
        <w:rPr>
          <w:rFonts w:ascii="Garamond" w:hAnsi="Garamond"/>
        </w:rPr>
        <w:t xml:space="preserve">: Le attività sincrone si svolgono </w:t>
      </w:r>
      <w:r w:rsidRPr="00EE7A32">
        <w:rPr>
          <w:rFonts w:ascii="Garamond" w:hAnsi="Garamond"/>
          <w:b/>
          <w:bCs/>
        </w:rPr>
        <w:t xml:space="preserve">attraverso </w:t>
      </w:r>
      <w:r>
        <w:rPr>
          <w:rStyle w:val="Enfasigrassetto"/>
          <w:rFonts w:ascii="Garamond" w:eastAsiaTheme="majorEastAsia" w:hAnsi="Garamond"/>
          <w:b w:val="0"/>
          <w:bCs w:val="0"/>
        </w:rPr>
        <w:t xml:space="preserve">VC, </w:t>
      </w:r>
      <w:r w:rsidRPr="00EE7A32">
        <w:rPr>
          <w:rFonts w:ascii="Garamond" w:hAnsi="Garamond"/>
        </w:rPr>
        <w:t>calendarizzate e comunicate agli studenti tramite le piattaforme di Ateneo. Ogni ora di TEL-DI sincrona corrisponde a un’ora in VC. La partecipazione alle VC costituisce parte strutturale del percorso formativo e rappresenta il momento privilegiato di interazione diretta con il docente.</w:t>
      </w:r>
    </w:p>
    <w:p w14:paraId="2A1D09AC" w14:textId="77777777" w:rsidR="00EE7A32" w:rsidRPr="00EE7A32" w:rsidRDefault="00EE7A32" w:rsidP="00EE7A32">
      <w:pPr>
        <w:pStyle w:val="NormaleWeb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both"/>
        <w:rPr>
          <w:rFonts w:ascii="Garamond" w:hAnsi="Garamond"/>
        </w:rPr>
      </w:pPr>
      <w:r w:rsidRPr="00EE7A32">
        <w:rPr>
          <w:rStyle w:val="Enfasigrassetto"/>
          <w:rFonts w:ascii="Garamond" w:eastAsiaTheme="majorEastAsia" w:hAnsi="Garamond"/>
        </w:rPr>
        <w:t>(TEL-DI asincrona)</w:t>
      </w:r>
      <w:r w:rsidRPr="00EE7A32">
        <w:rPr>
          <w:rFonts w:ascii="Garamond" w:hAnsi="Garamond"/>
        </w:rPr>
        <w:t>: Le attività asincrone (</w:t>
      </w:r>
      <w:r w:rsidRPr="00EE7A32">
        <w:rPr>
          <w:rFonts w:ascii="Garamond" w:hAnsi="Garamond"/>
          <w:i/>
          <w:iCs/>
        </w:rPr>
        <w:t>e-</w:t>
      </w:r>
      <w:proofErr w:type="spellStart"/>
      <w:r w:rsidRPr="00EE7A32">
        <w:rPr>
          <w:rFonts w:ascii="Garamond" w:hAnsi="Garamond"/>
          <w:i/>
          <w:iCs/>
        </w:rPr>
        <w:t>tivity</w:t>
      </w:r>
      <w:proofErr w:type="spellEnd"/>
      <w:r w:rsidRPr="00EE7A32">
        <w:rPr>
          <w:rFonts w:ascii="Garamond" w:hAnsi="Garamond"/>
        </w:rPr>
        <w:t xml:space="preserve">) consistono in esercitazioni, attività applicative, elaborati e altre forme di lavoro autonomo guidato. Le </w:t>
      </w:r>
      <w:r w:rsidRPr="00EE7A32">
        <w:rPr>
          <w:rFonts w:ascii="Garamond" w:hAnsi="Garamond"/>
          <w:i/>
          <w:iCs/>
        </w:rPr>
        <w:t>e-</w:t>
      </w:r>
      <w:proofErr w:type="spellStart"/>
      <w:r w:rsidRPr="00EE7A32">
        <w:rPr>
          <w:rFonts w:ascii="Garamond" w:hAnsi="Garamond"/>
          <w:i/>
          <w:iCs/>
        </w:rPr>
        <w:t>tivity</w:t>
      </w:r>
      <w:proofErr w:type="spellEnd"/>
      <w:r w:rsidRPr="00EE7A32">
        <w:rPr>
          <w:rFonts w:ascii="Garamond" w:hAnsi="Garamond"/>
        </w:rPr>
        <w:t xml:space="preserve"> sono </w:t>
      </w:r>
      <w:r w:rsidRPr="00EE7A32">
        <w:rPr>
          <w:rStyle w:val="Enfasigrassetto"/>
          <w:rFonts w:ascii="Garamond" w:eastAsiaTheme="majorEastAsia" w:hAnsi="Garamond"/>
        </w:rPr>
        <w:t>obbligatorie</w:t>
      </w:r>
      <w:r w:rsidRPr="00EE7A32">
        <w:rPr>
          <w:rFonts w:ascii="Garamond" w:hAnsi="Garamond"/>
        </w:rPr>
        <w:t xml:space="preserve">, tracciate in piattaforma e integrate alle attività sincrone (VC). Le </w:t>
      </w:r>
      <w:r w:rsidRPr="00EE7A32">
        <w:rPr>
          <w:rFonts w:ascii="Garamond" w:hAnsi="Garamond"/>
          <w:i/>
          <w:iCs/>
        </w:rPr>
        <w:t>e-</w:t>
      </w:r>
      <w:proofErr w:type="spellStart"/>
      <w:r w:rsidRPr="00EE7A32">
        <w:rPr>
          <w:rFonts w:ascii="Garamond" w:hAnsi="Garamond"/>
          <w:i/>
          <w:iCs/>
        </w:rPr>
        <w:t>tivity</w:t>
      </w:r>
      <w:proofErr w:type="spellEnd"/>
      <w:r w:rsidRPr="00EE7A32">
        <w:rPr>
          <w:rFonts w:ascii="Garamond" w:hAnsi="Garamond"/>
        </w:rPr>
        <w:t xml:space="preserve"> prevedono il </w:t>
      </w:r>
      <w:r w:rsidRPr="00EE7A32">
        <w:rPr>
          <w:rStyle w:val="Enfasigrassetto"/>
          <w:rFonts w:ascii="Garamond" w:eastAsiaTheme="majorEastAsia" w:hAnsi="Garamond"/>
        </w:rPr>
        <w:t>feedback formativo del docente</w:t>
      </w:r>
      <w:r w:rsidRPr="00EE7A32">
        <w:rPr>
          <w:rFonts w:ascii="Garamond" w:hAnsi="Garamond"/>
        </w:rPr>
        <w:t xml:space="preserve"> e sono finalizzate a rendere verificabile l’apprendimento attivo e l’elaborazione dei contenuti anche trattati durante il corso e durante le VC.</w:t>
      </w:r>
    </w:p>
    <w:p w14:paraId="3708CE8C" w14:textId="77777777" w:rsidR="00EE7A32" w:rsidRPr="00EE7A32" w:rsidRDefault="00EE7A32" w:rsidP="00EE7A3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7E89A23" w14:textId="77777777" w:rsidR="00EE7A32" w:rsidRPr="00EE7A32" w:rsidRDefault="00EE7A32" w:rsidP="00EE7A32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</w:rPr>
      </w:pPr>
      <w:r w:rsidRPr="00EE7A32">
        <w:rPr>
          <w:rFonts w:ascii="Garamond" w:hAnsi="Garamond"/>
          <w:b/>
          <w:bCs/>
        </w:rPr>
        <w:t>LABORATORI</w:t>
      </w:r>
    </w:p>
    <w:p w14:paraId="616E2347" w14:textId="77777777" w:rsidR="00EE7A32" w:rsidRPr="00EE7A32" w:rsidRDefault="00EE7A32" w:rsidP="00EE7A32">
      <w:pPr>
        <w:pStyle w:val="NormaleWeb"/>
        <w:spacing w:before="0" w:beforeAutospacing="0" w:after="0" w:afterAutospacing="0"/>
        <w:jc w:val="both"/>
        <w:rPr>
          <w:rFonts w:ascii="Garamond" w:eastAsia="Calibri" w:hAnsi="Garamond" w:cs="Calibri"/>
        </w:rPr>
      </w:pPr>
      <w:r w:rsidRPr="00EE7A32">
        <w:rPr>
          <w:rFonts w:ascii="Garamond" w:hAnsi="Garamond"/>
        </w:rPr>
        <w:t>Diversamente dagli insegnamenti, i</w:t>
      </w:r>
      <w:r w:rsidRPr="00EE7A32">
        <w:rPr>
          <w:rFonts w:ascii="Garamond" w:hAnsi="Garamond"/>
          <w:b/>
          <w:bCs/>
        </w:rPr>
        <w:t xml:space="preserve"> laboratori</w:t>
      </w:r>
      <w:r w:rsidRPr="00EE7A32">
        <w:rPr>
          <w:rFonts w:ascii="Garamond" w:hAnsi="Garamond"/>
        </w:rPr>
        <w:t>, coerentemente con la loro natura applicativa e professionalizzante, adottano un modello didattico che prevede la</w:t>
      </w:r>
      <w:r w:rsidRPr="00EE7A32">
        <w:rPr>
          <w:rFonts w:ascii="Garamond" w:hAnsi="Garamond"/>
          <w:b/>
          <w:bCs/>
        </w:rPr>
        <w:t xml:space="preserve"> sola componente interattiva (TEL-DI)</w:t>
      </w:r>
      <w:r w:rsidRPr="00EE7A32">
        <w:rPr>
          <w:rFonts w:ascii="Garamond" w:hAnsi="Garamond"/>
        </w:rPr>
        <w:t xml:space="preserve">. I laboratori si svolgono infatti mediante la partecipazione sincrona alle VC e lo svolgimento di </w:t>
      </w:r>
      <w:r w:rsidRPr="00EE7A32">
        <w:rPr>
          <w:rFonts w:ascii="Garamond" w:hAnsi="Garamond"/>
          <w:i/>
          <w:iCs/>
        </w:rPr>
        <w:t>e-</w:t>
      </w:r>
      <w:proofErr w:type="spellStart"/>
      <w:r w:rsidRPr="00EE7A32">
        <w:rPr>
          <w:rFonts w:ascii="Garamond" w:hAnsi="Garamond"/>
          <w:i/>
          <w:iCs/>
        </w:rPr>
        <w:t>tivity</w:t>
      </w:r>
      <w:proofErr w:type="spellEnd"/>
      <w:r w:rsidRPr="00EE7A32">
        <w:rPr>
          <w:rFonts w:ascii="Garamond" w:hAnsi="Garamond"/>
          <w:i/>
          <w:iCs/>
        </w:rPr>
        <w:t xml:space="preserve"> </w:t>
      </w:r>
      <w:r w:rsidRPr="00EE7A32">
        <w:rPr>
          <w:rFonts w:ascii="Garamond" w:hAnsi="Garamond"/>
        </w:rPr>
        <w:t>integrative (ad esempio: project work, simulazioni, elaborati applicativi, attività di revisione tra pari, ecc.) comunque costantemente monitorate dal docente attraverso feedback formativi tracciati.</w:t>
      </w:r>
    </w:p>
    <w:p w14:paraId="594C5094" w14:textId="77777777" w:rsidR="00EE7A32" w:rsidRPr="00EE7A32" w:rsidRDefault="00EE7A32" w:rsidP="00EE7A32">
      <w:pPr>
        <w:pStyle w:val="NormaleWeb"/>
        <w:spacing w:before="0" w:beforeAutospacing="0" w:after="0" w:afterAutospacing="0"/>
        <w:jc w:val="both"/>
        <w:rPr>
          <w:rFonts w:ascii="Garamond" w:eastAsia="Calibri" w:hAnsi="Garamond" w:cs="Calibri"/>
        </w:rPr>
      </w:pPr>
    </w:p>
    <w:p w14:paraId="5FBC2C49" w14:textId="77777777" w:rsidR="00EE7A32" w:rsidRPr="00EE7A32" w:rsidRDefault="00EE7A32" w:rsidP="00EE7A32">
      <w:pPr>
        <w:pStyle w:val="NormaleWeb"/>
        <w:spacing w:before="0" w:beforeAutospacing="0" w:after="0" w:afterAutospacing="0"/>
        <w:jc w:val="both"/>
        <w:rPr>
          <w:rFonts w:ascii="Garamond" w:eastAsia="Calibri" w:hAnsi="Garamond" w:cs="Calibri"/>
        </w:rPr>
      </w:pPr>
      <w:r w:rsidRPr="00EE7A32">
        <w:rPr>
          <w:rFonts w:ascii="Garamond" w:hAnsi="Garamond"/>
        </w:rPr>
        <w:t xml:space="preserve">Sia per gli insegnamenti che per i laboratori, la partecipazione alle attività sincrone rappresenta un momento privilegiato di interazione. La mancata partecipazione alle VC è consentita esclusivamente in presenza di comprovate esigenze (condizioni di salute, attività lavorativa, genitorialità o impegni di cura familiare, altre cause di forza maggiore o adempimenti civici debitamente documentati), fermo restando l’obbligo di assolvimento del </w:t>
      </w:r>
      <w:r w:rsidRPr="00EE7A32">
        <w:rPr>
          <w:rFonts w:ascii="Garamond" w:hAnsi="Garamond"/>
          <w:b/>
          <w:bCs/>
        </w:rPr>
        <w:t>carico didattico complessivo</w:t>
      </w:r>
      <w:r w:rsidRPr="00EE7A32">
        <w:rPr>
          <w:rFonts w:ascii="Garamond" w:hAnsi="Garamond"/>
        </w:rPr>
        <w:t xml:space="preserve"> attraverso </w:t>
      </w:r>
      <w:r w:rsidRPr="00EE7A32">
        <w:rPr>
          <w:rFonts w:ascii="Garamond" w:hAnsi="Garamond"/>
          <w:i/>
          <w:iCs/>
        </w:rPr>
        <w:t>e-</w:t>
      </w:r>
      <w:proofErr w:type="spellStart"/>
      <w:r w:rsidRPr="00EE7A32">
        <w:rPr>
          <w:rFonts w:ascii="Garamond" w:hAnsi="Garamond"/>
          <w:i/>
          <w:iCs/>
        </w:rPr>
        <w:t>tivity</w:t>
      </w:r>
      <w:proofErr w:type="spellEnd"/>
      <w:r w:rsidRPr="00EE7A32">
        <w:rPr>
          <w:rFonts w:ascii="Garamond" w:hAnsi="Garamond"/>
        </w:rPr>
        <w:t xml:space="preserve"> asincrone equivalenti e tracciate. La documentazione che motiva la mancata partecipazione alle VC va inviata al docente di modo da poter documentare i casi di impossibilità. Questa documentazione sarà archiviata dal docente insieme al report di tracciamento delle attività svolte sulla piattaforma didattica di Ateneo (</w:t>
      </w:r>
      <w:proofErr w:type="spellStart"/>
      <w:r w:rsidRPr="00EE7A32">
        <w:rPr>
          <w:rFonts w:ascii="Garamond" w:hAnsi="Garamond"/>
        </w:rPr>
        <w:t>Everywhere</w:t>
      </w:r>
      <w:proofErr w:type="spellEnd"/>
      <w:r w:rsidRPr="00EE7A32">
        <w:rPr>
          <w:rFonts w:ascii="Garamond" w:hAnsi="Garamond"/>
        </w:rPr>
        <w:t>).</w:t>
      </w:r>
    </w:p>
    <w:p w14:paraId="50FBC349" w14:textId="77777777" w:rsidR="00EE7A32" w:rsidRPr="00EE7A32" w:rsidRDefault="00EE7A32" w:rsidP="00EE7A32">
      <w:pPr>
        <w:pStyle w:val="NormaleWeb"/>
        <w:spacing w:before="0" w:beforeAutospacing="0" w:after="0" w:afterAutospacing="0"/>
        <w:jc w:val="both"/>
        <w:rPr>
          <w:rFonts w:ascii="Garamond" w:eastAsia="Calibri" w:hAnsi="Garamond" w:cs="Calibri"/>
        </w:rPr>
      </w:pPr>
    </w:p>
    <w:p w14:paraId="657FAE65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 xml:space="preserve">Come previsto dal Regolamento dei corsi di studio erogati in modalità prevalentemente a distanza (come la LM-37), la sola prenotazione dell’esame tramite il sistema Esse3 non costituisce di per sé garanzia di ammissione all’esame. Il docente, sulla base dei </w:t>
      </w:r>
      <w:r w:rsidRPr="00EE7A32">
        <w:rPr>
          <w:rFonts w:ascii="Garamond" w:hAnsi="Garamond"/>
          <w:b/>
          <w:bCs/>
          <w:sz w:val="24"/>
          <w:szCs w:val="24"/>
        </w:rPr>
        <w:t xml:space="preserve">report di tracciamento della piattaforma </w:t>
      </w:r>
      <w:proofErr w:type="spellStart"/>
      <w:r w:rsidRPr="00EE7A32">
        <w:rPr>
          <w:rFonts w:ascii="Garamond" w:hAnsi="Garamond"/>
          <w:b/>
          <w:bCs/>
          <w:sz w:val="24"/>
          <w:szCs w:val="24"/>
        </w:rPr>
        <w:t>Everywhere</w:t>
      </w:r>
      <w:proofErr w:type="spellEnd"/>
      <w:r w:rsidRPr="00EE7A32">
        <w:rPr>
          <w:rFonts w:ascii="Garamond" w:hAnsi="Garamond"/>
          <w:b/>
          <w:bCs/>
          <w:sz w:val="24"/>
          <w:szCs w:val="24"/>
        </w:rPr>
        <w:t xml:space="preserve"> </w:t>
      </w:r>
      <w:r w:rsidRPr="00EE7A32">
        <w:rPr>
          <w:rFonts w:ascii="Garamond" w:hAnsi="Garamond"/>
          <w:sz w:val="24"/>
          <w:szCs w:val="24"/>
        </w:rPr>
        <w:t xml:space="preserve">sulle attività svolte di TEL-DE e di TEL-DI, può non ammettere alla prova lo studente che non abbia integralmente assolto agli obblighi di </w:t>
      </w:r>
      <w:r w:rsidRPr="00EE7A32">
        <w:rPr>
          <w:rFonts w:ascii="Garamond" w:hAnsi="Garamond"/>
          <w:b/>
          <w:bCs/>
          <w:sz w:val="24"/>
          <w:szCs w:val="24"/>
        </w:rPr>
        <w:t>carico didattico digitale</w:t>
      </w:r>
      <w:r w:rsidRPr="00EE7A32">
        <w:rPr>
          <w:rFonts w:ascii="Garamond" w:hAnsi="Garamond"/>
          <w:sz w:val="24"/>
          <w:szCs w:val="24"/>
        </w:rPr>
        <w:t xml:space="preserve"> previsti per la specifica tipologia di attività formativa (insegnamento o laboratorio).</w:t>
      </w:r>
    </w:p>
    <w:p w14:paraId="6E524197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lastRenderedPageBreak/>
        <w:t xml:space="preserve">Il tracciamento automatico delle attività svolte sulla piattaforma </w:t>
      </w:r>
      <w:proofErr w:type="spellStart"/>
      <w:r w:rsidRPr="00EE7A32">
        <w:rPr>
          <w:rFonts w:ascii="Garamond" w:hAnsi="Garamond"/>
          <w:sz w:val="24"/>
          <w:szCs w:val="24"/>
        </w:rPr>
        <w:t>Everywhere</w:t>
      </w:r>
      <w:proofErr w:type="spellEnd"/>
      <w:r w:rsidRPr="00EE7A32">
        <w:rPr>
          <w:rFonts w:ascii="Garamond" w:hAnsi="Garamond"/>
          <w:sz w:val="24"/>
          <w:szCs w:val="24"/>
        </w:rPr>
        <w:t xml:space="preserve"> costituisce elemento essenziale per la </w:t>
      </w:r>
      <w:r w:rsidRPr="00EE7A32">
        <w:rPr>
          <w:rFonts w:ascii="Garamond" w:hAnsi="Garamond"/>
          <w:b/>
          <w:bCs/>
          <w:sz w:val="24"/>
          <w:szCs w:val="24"/>
        </w:rPr>
        <w:t>certificazione della partecipazione</w:t>
      </w:r>
      <w:r w:rsidRPr="00EE7A32">
        <w:rPr>
          <w:rFonts w:ascii="Garamond" w:hAnsi="Garamond"/>
          <w:sz w:val="24"/>
          <w:szCs w:val="24"/>
        </w:rPr>
        <w:t xml:space="preserve"> e dell’</w:t>
      </w:r>
      <w:r w:rsidRPr="00EE7A32">
        <w:rPr>
          <w:rFonts w:ascii="Garamond" w:hAnsi="Garamond"/>
          <w:b/>
          <w:bCs/>
          <w:sz w:val="24"/>
          <w:szCs w:val="24"/>
        </w:rPr>
        <w:t xml:space="preserve">assolvimento del carico didattico digitale </w:t>
      </w:r>
      <w:r w:rsidRPr="00EE7A32">
        <w:rPr>
          <w:rFonts w:ascii="Garamond" w:hAnsi="Garamond"/>
          <w:sz w:val="24"/>
          <w:szCs w:val="24"/>
        </w:rPr>
        <w:t xml:space="preserve">degli insegnamenti (TEL-DE + TEL-DI) e dei laboratori (TEL-DI) e rappresenta quindi </w:t>
      </w:r>
      <w:r w:rsidRPr="00EE7A32">
        <w:rPr>
          <w:rFonts w:ascii="Garamond" w:hAnsi="Garamond"/>
          <w:b/>
          <w:bCs/>
          <w:sz w:val="24"/>
          <w:szCs w:val="24"/>
        </w:rPr>
        <w:t>condizione necessaria per l’accesso agli esami di profitto</w:t>
      </w:r>
      <w:r w:rsidRPr="00EE7A32">
        <w:rPr>
          <w:rFonts w:ascii="Garamond" w:hAnsi="Garamond"/>
          <w:sz w:val="24"/>
          <w:szCs w:val="24"/>
        </w:rPr>
        <w:t>.</w:t>
      </w:r>
    </w:p>
    <w:p w14:paraId="64AB2315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>In ragione di ciò, lo studente che risulti carente nel rispetto di tali obblighi è considerato “assente per mancato assolvimento degli obblighi didattici” e dovrà regolarizzare la propria posizione sulla piattaforma prima di potersi iscrivere a un appello successivo.</w:t>
      </w:r>
    </w:p>
    <w:p w14:paraId="146DC5C2" w14:textId="77777777" w:rsidR="00EE7A32" w:rsidRPr="00EE7A32" w:rsidRDefault="00EE7A32" w:rsidP="00EE7A32">
      <w:pPr>
        <w:pStyle w:val="NormaleWeb"/>
        <w:spacing w:before="0" w:beforeAutospacing="0" w:after="0" w:afterAutospacing="0"/>
        <w:jc w:val="both"/>
        <w:rPr>
          <w:rFonts w:ascii="Garamond" w:eastAsia="Calibri" w:hAnsi="Garamond" w:cs="Calibri"/>
        </w:rPr>
      </w:pPr>
    </w:p>
    <w:p w14:paraId="524850E2" w14:textId="77777777" w:rsidR="00EE7A32" w:rsidRPr="00EE7A32" w:rsidRDefault="00EE7A32" w:rsidP="00EE7A32">
      <w:pPr>
        <w:pStyle w:val="Titolo3"/>
      </w:pPr>
      <w:r w:rsidRPr="00EE7A32">
        <w:t xml:space="preserve">4. Consultazione della programmazione didattica e dei </w:t>
      </w:r>
      <w:proofErr w:type="spellStart"/>
      <w:r w:rsidRPr="00EE7A32">
        <w:t>Syllabi</w:t>
      </w:r>
      <w:proofErr w:type="spellEnd"/>
      <w:r w:rsidRPr="00EE7A32">
        <w:t xml:space="preserve"> </w:t>
      </w:r>
    </w:p>
    <w:p w14:paraId="3B53CACA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 xml:space="preserve">In un’ottica di garanzia della qualità, e in aggiunta alle procedure di immatricolazione stabilite dalla Segreteria Studenti di Ateneo, per il </w:t>
      </w:r>
      <w:proofErr w:type="spellStart"/>
      <w:r w:rsidRPr="00EE7A32">
        <w:rPr>
          <w:rFonts w:ascii="Garamond" w:hAnsi="Garamond"/>
          <w:sz w:val="24"/>
          <w:szCs w:val="24"/>
        </w:rPr>
        <w:t>CdS</w:t>
      </w:r>
      <w:proofErr w:type="spellEnd"/>
      <w:r w:rsidRPr="00EE7A32">
        <w:rPr>
          <w:rFonts w:ascii="Garamond" w:hAnsi="Garamond"/>
          <w:sz w:val="24"/>
          <w:szCs w:val="24"/>
        </w:rPr>
        <w:t xml:space="preserve"> LM-37 si segnala che, nella fase preliminare, quando l’immatricolazione non è ancora perfezionata e quindi non è ancora consentito l’accesso alla piattaforma </w:t>
      </w:r>
      <w:proofErr w:type="spellStart"/>
      <w:r w:rsidRPr="00EE7A32">
        <w:rPr>
          <w:rFonts w:ascii="Garamond" w:hAnsi="Garamond"/>
          <w:sz w:val="24"/>
          <w:szCs w:val="24"/>
        </w:rPr>
        <w:t>Everywhere</w:t>
      </w:r>
      <w:proofErr w:type="spellEnd"/>
      <w:r w:rsidRPr="00EE7A32">
        <w:rPr>
          <w:rFonts w:ascii="Garamond" w:hAnsi="Garamond"/>
          <w:sz w:val="24"/>
          <w:szCs w:val="24"/>
        </w:rPr>
        <w:t xml:space="preserve">, gli studenti possono comunque consultare i </w:t>
      </w:r>
      <w:proofErr w:type="spellStart"/>
      <w:r w:rsidRPr="00EE7A32">
        <w:rPr>
          <w:rFonts w:ascii="Garamond" w:hAnsi="Garamond"/>
          <w:sz w:val="24"/>
          <w:szCs w:val="24"/>
        </w:rPr>
        <w:t>syllabi</w:t>
      </w:r>
      <w:proofErr w:type="spellEnd"/>
      <w:r w:rsidRPr="00EE7A32">
        <w:rPr>
          <w:rFonts w:ascii="Garamond" w:hAnsi="Garamond"/>
          <w:sz w:val="24"/>
          <w:szCs w:val="24"/>
        </w:rPr>
        <w:t xml:space="preserve"> degli insegnamenti e dei laboratori nonché l’articolazione didattica (calendarizzazione VC + </w:t>
      </w:r>
      <w:r w:rsidRPr="00EE7A32">
        <w:rPr>
          <w:rFonts w:ascii="Garamond" w:hAnsi="Garamond"/>
          <w:i/>
          <w:iCs/>
          <w:sz w:val="24"/>
          <w:szCs w:val="24"/>
        </w:rPr>
        <w:t>e-</w:t>
      </w:r>
      <w:proofErr w:type="spellStart"/>
      <w:r w:rsidRPr="00EE7A32">
        <w:rPr>
          <w:rFonts w:ascii="Garamond" w:hAnsi="Garamond"/>
          <w:i/>
          <w:iCs/>
          <w:sz w:val="24"/>
          <w:szCs w:val="24"/>
        </w:rPr>
        <w:t>tivity</w:t>
      </w:r>
      <w:proofErr w:type="spellEnd"/>
      <w:r w:rsidRPr="00EE7A32">
        <w:rPr>
          <w:rFonts w:ascii="Garamond" w:hAnsi="Garamond"/>
          <w:sz w:val="24"/>
          <w:szCs w:val="24"/>
        </w:rPr>
        <w:t xml:space="preserve">) degli stessi attraverso il portale </w:t>
      </w:r>
      <w:r w:rsidRPr="00EE7A32">
        <w:rPr>
          <w:rFonts w:ascii="Garamond" w:hAnsi="Garamond"/>
          <w:b/>
          <w:bCs/>
          <w:sz w:val="24"/>
          <w:szCs w:val="24"/>
        </w:rPr>
        <w:t xml:space="preserve">Cineca </w:t>
      </w:r>
      <w:r w:rsidRPr="00EE7A32">
        <w:rPr>
          <w:rFonts w:ascii="Garamond" w:hAnsi="Garamond"/>
          <w:sz w:val="24"/>
          <w:szCs w:val="24"/>
        </w:rPr>
        <w:t>(cercare nel motore di ricerca “Cineca insegnamenti UNINT” e cliccare sul primo link). Questa consultazione consente di avere un quadro chiaro del percorso di studi, facilitando la programmazione personale prima della definizione ufficiale del piano di studi.</w:t>
      </w:r>
    </w:p>
    <w:p w14:paraId="18977550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 xml:space="preserve">Una volta quindi perfezionata l’immatricolazione e compilato il piano di studi (par. 3) gli studenti potranno accedere alla piattaforma di Ateneo </w:t>
      </w:r>
      <w:proofErr w:type="spellStart"/>
      <w:r w:rsidRPr="00EE7A32">
        <w:rPr>
          <w:rFonts w:ascii="Garamond" w:hAnsi="Garamond"/>
          <w:sz w:val="24"/>
          <w:szCs w:val="24"/>
        </w:rPr>
        <w:t>Everywhere</w:t>
      </w:r>
      <w:proofErr w:type="spellEnd"/>
      <w:r w:rsidRPr="00EE7A32">
        <w:rPr>
          <w:rFonts w:ascii="Garamond" w:hAnsi="Garamond"/>
          <w:sz w:val="24"/>
          <w:szCs w:val="24"/>
        </w:rPr>
        <w:t xml:space="preserve"> al fine di poter consultare nel dettaglio l’organizzazione e la struttura didattica, i contenuti e le risorse messe a disposizione sia per gli insegnamenti che per i laboratori così da poter pianificare una partecipazione piena alle attività didattiche previste.</w:t>
      </w:r>
    </w:p>
    <w:p w14:paraId="057C2DF2" w14:textId="77777777" w:rsidR="00EE7A32" w:rsidRPr="00EE7A32" w:rsidRDefault="00EE7A32" w:rsidP="00EE7A3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EE7A32">
        <w:rPr>
          <w:rFonts w:ascii="Garamond" w:hAnsi="Garamond"/>
        </w:rPr>
        <w:t xml:space="preserve">Per informazioni sulle modalità di iscrizione, consultare il sito unint.eu, seguendo il percorso: Info per → Futuri studenti → Come iscriversi, dove sono disponibili tutte le indicazioni utili e aggiornate per l’iscrizione al Corso di laurea magistrale in Lingue per la didattica innovativa e l’interculturalità. </w:t>
      </w:r>
    </w:p>
    <w:p w14:paraId="07FB5304" w14:textId="77777777" w:rsidR="00EE7A32" w:rsidRPr="00EE7A32" w:rsidRDefault="00EE7A32" w:rsidP="00EE7A32">
      <w:pPr>
        <w:pStyle w:val="NormaleWeb"/>
        <w:spacing w:before="0" w:beforeAutospacing="0" w:after="0" w:afterAutospacing="0"/>
        <w:jc w:val="both"/>
        <w:rPr>
          <w:rFonts w:ascii="Garamond" w:eastAsia="Calibri" w:hAnsi="Garamond" w:cs="Calibri"/>
          <w:shd w:val="clear" w:color="auto" w:fill="FFFF00"/>
        </w:rPr>
      </w:pPr>
    </w:p>
    <w:p w14:paraId="4FAC7979" w14:textId="77777777" w:rsidR="00EE7A32" w:rsidRPr="00EE7A32" w:rsidRDefault="00EE7A32" w:rsidP="00EE7A32">
      <w:pPr>
        <w:pStyle w:val="Titolo3"/>
      </w:pPr>
      <w:r w:rsidRPr="00EE7A32">
        <w:t>5. Procedura di compilazione del piano di studi</w:t>
      </w:r>
    </w:p>
    <w:p w14:paraId="26BCF991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>La compilazione del piano di studi è condizione necessaria per l’accesso alle attività didattiche e agli appelli d’esame. Attraverso il piano di studi lo studente definisce il proprio percorso formativo e accede agli insegnamenti, alle attività sincrone e asincrone e ai relativi materiali didattici.</w:t>
      </w:r>
    </w:p>
    <w:p w14:paraId="3ABEE4A7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>Il piano di studi viene compilato online secondo le scadenze e le modalità indicate dall’Ateneo. Una volta approvato, consente la piena fruizione degli ambienti didattici digitali e delle attività previste.</w:t>
      </w:r>
    </w:p>
    <w:p w14:paraId="48569E41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</w:p>
    <w:p w14:paraId="3E01F74F" w14:textId="77777777" w:rsidR="00EE7A32" w:rsidRPr="00EE7A32" w:rsidRDefault="00EE7A32" w:rsidP="00EE7A32">
      <w:pPr>
        <w:pStyle w:val="Titolo3"/>
      </w:pPr>
      <w:r w:rsidRPr="00EE7A32">
        <w:t>6. Servizi offerti dall’Ateneo</w:t>
      </w:r>
    </w:p>
    <w:p w14:paraId="6C79676A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>L’Ateneo mette a disposizione numerosi servizi di supporto agli studenti per i corsi di laurea erogati in modalità prevalentemente a distanza. I principali uffici e relativi contatti sono:</w:t>
      </w:r>
    </w:p>
    <w:p w14:paraId="088145EC" w14:textId="77777777" w:rsidR="00EE7A32" w:rsidRPr="00EE7A32" w:rsidRDefault="00EE7A32" w:rsidP="00EE7A32">
      <w:pPr>
        <w:pStyle w:val="Didefault"/>
        <w:spacing w:before="0" w:line="240" w:lineRule="auto"/>
        <w:rPr>
          <w:rFonts w:ascii="Garamond" w:eastAsia="Calibri" w:hAnsi="Garamond" w:cs="Calibri"/>
          <w:b/>
          <w:bCs/>
          <w:shd w:val="clear" w:color="auto" w:fill="FFFFFF"/>
        </w:rPr>
      </w:pPr>
    </w:p>
    <w:p w14:paraId="62641E50" w14:textId="77777777" w:rsidR="00EE7A32" w:rsidRPr="00EE7A32" w:rsidRDefault="00EE7A32" w:rsidP="00EE7A32">
      <w:pPr>
        <w:pStyle w:val="Didefault"/>
        <w:spacing w:before="0" w:line="240" w:lineRule="auto"/>
        <w:rPr>
          <w:rFonts w:ascii="Garamond" w:eastAsia="Calibri" w:hAnsi="Garamond" w:cs="Calibri"/>
          <w:shd w:val="clear" w:color="auto" w:fill="FFFFFF"/>
        </w:rPr>
      </w:pPr>
      <w:r w:rsidRPr="00EE7A32">
        <w:rPr>
          <w:rFonts w:ascii="Garamond" w:hAnsi="Garamond"/>
          <w:b/>
          <w:bCs/>
          <w:shd w:val="clear" w:color="auto" w:fill="FFFFFF"/>
        </w:rPr>
        <w:t>UFFICIO ORIENTAMENTO</w:t>
      </w:r>
    </w:p>
    <w:p w14:paraId="35EBCA04" w14:textId="77777777" w:rsidR="00EE7A32" w:rsidRPr="00EE7A32" w:rsidRDefault="00EE7A32" w:rsidP="00EE7A32">
      <w:pPr>
        <w:pStyle w:val="Didefault"/>
        <w:spacing w:before="0" w:line="240" w:lineRule="auto"/>
        <w:rPr>
          <w:rFonts w:ascii="Garamond" w:eastAsia="Calibri" w:hAnsi="Garamond" w:cs="Calibri"/>
          <w:shd w:val="clear" w:color="auto" w:fill="FFFFFF"/>
        </w:rPr>
      </w:pPr>
      <w:r w:rsidRPr="00EE7A32">
        <w:rPr>
          <w:rFonts w:ascii="Garamond" w:hAnsi="Garamond"/>
          <w:shd w:val="clear" w:color="auto" w:fill="FFFFFF"/>
        </w:rPr>
        <w:t>Tel: 06.510.777.409</w:t>
      </w:r>
    </w:p>
    <w:p w14:paraId="31B1C4F5" w14:textId="77777777" w:rsidR="00EE7A32" w:rsidRPr="00EE7A32" w:rsidRDefault="00EE7A32" w:rsidP="00EE7A32">
      <w:pPr>
        <w:pStyle w:val="Didefault"/>
        <w:spacing w:before="0" w:line="240" w:lineRule="auto"/>
        <w:rPr>
          <w:rFonts w:ascii="Garamond" w:eastAsia="Calibri" w:hAnsi="Garamond" w:cs="Calibri"/>
          <w:shd w:val="clear" w:color="auto" w:fill="FFFFFF"/>
        </w:rPr>
      </w:pPr>
      <w:r w:rsidRPr="00EE7A32">
        <w:rPr>
          <w:rFonts w:ascii="Garamond" w:hAnsi="Garamond"/>
          <w:shd w:val="clear" w:color="auto" w:fill="FFFFFF"/>
        </w:rPr>
        <w:t>E-mail: orientamento@unint.eu</w:t>
      </w:r>
    </w:p>
    <w:p w14:paraId="0BDDCC1D" w14:textId="77777777" w:rsidR="00EE7A32" w:rsidRPr="00EE7A32" w:rsidRDefault="00EE7A32" w:rsidP="00EE7A32">
      <w:pPr>
        <w:pStyle w:val="Didefault"/>
        <w:spacing w:before="0" w:line="240" w:lineRule="auto"/>
        <w:rPr>
          <w:rFonts w:ascii="Garamond" w:eastAsia="Calibri" w:hAnsi="Garamond" w:cs="Calibri"/>
          <w:shd w:val="clear" w:color="auto" w:fill="FFFFFF"/>
        </w:rPr>
      </w:pPr>
    </w:p>
    <w:p w14:paraId="56EC3798" w14:textId="77777777" w:rsidR="00EE7A32" w:rsidRPr="00EE7A32" w:rsidRDefault="00EE7A32" w:rsidP="00EE7A32">
      <w:pPr>
        <w:pStyle w:val="Didefault"/>
        <w:spacing w:before="0" w:line="240" w:lineRule="auto"/>
        <w:rPr>
          <w:rFonts w:ascii="Garamond" w:eastAsia="Calibri" w:hAnsi="Garamond" w:cs="Calibri"/>
          <w:shd w:val="clear" w:color="auto" w:fill="FFFFFF"/>
        </w:rPr>
      </w:pPr>
      <w:r w:rsidRPr="00EE7A32">
        <w:rPr>
          <w:rFonts w:ascii="Garamond" w:hAnsi="Garamond"/>
          <w:b/>
          <w:bCs/>
          <w:shd w:val="clear" w:color="auto" w:fill="FFFFFF"/>
          <w:lang w:val="pt-PT"/>
        </w:rPr>
        <w:t>UFFICIO PLACEMENT E TIROCINI</w:t>
      </w:r>
    </w:p>
    <w:p w14:paraId="3F1DB1DD" w14:textId="77777777" w:rsidR="00EE7A32" w:rsidRPr="00EE7A32" w:rsidRDefault="00EE7A32" w:rsidP="00EE7A32">
      <w:pPr>
        <w:pStyle w:val="Didefault"/>
        <w:spacing w:before="0" w:line="240" w:lineRule="auto"/>
        <w:rPr>
          <w:rFonts w:ascii="Garamond" w:eastAsia="Calibri" w:hAnsi="Garamond" w:cs="Calibri"/>
          <w:shd w:val="clear" w:color="auto" w:fill="FFFFFF"/>
        </w:rPr>
      </w:pPr>
      <w:r w:rsidRPr="00EE7A32">
        <w:rPr>
          <w:rFonts w:ascii="Garamond" w:hAnsi="Garamond"/>
          <w:shd w:val="clear" w:color="auto" w:fill="FFFFFF"/>
        </w:rPr>
        <w:t>Tel: 06.510.777.407</w:t>
      </w:r>
    </w:p>
    <w:p w14:paraId="713D377C" w14:textId="77777777" w:rsidR="00EE7A32" w:rsidRPr="00EE7A32" w:rsidRDefault="00EE7A32" w:rsidP="00EE7A32">
      <w:pPr>
        <w:pStyle w:val="Didefault"/>
        <w:spacing w:before="0" w:line="240" w:lineRule="auto"/>
        <w:rPr>
          <w:rFonts w:ascii="Garamond" w:eastAsia="Calibri" w:hAnsi="Garamond" w:cs="Calibri"/>
          <w:shd w:val="clear" w:color="auto" w:fill="FFFFFF"/>
        </w:rPr>
      </w:pPr>
      <w:r w:rsidRPr="00EE7A32">
        <w:rPr>
          <w:rFonts w:ascii="Garamond" w:hAnsi="Garamond"/>
          <w:shd w:val="clear" w:color="auto" w:fill="FFFFFF"/>
        </w:rPr>
        <w:t>E-mail: placement@unint.eu</w:t>
      </w:r>
    </w:p>
    <w:p w14:paraId="548685D5" w14:textId="77777777" w:rsidR="00EE7A32" w:rsidRPr="00EE7A32" w:rsidRDefault="00EE7A32" w:rsidP="00EE7A32">
      <w:pPr>
        <w:pStyle w:val="Didefault"/>
        <w:spacing w:before="0" w:line="240" w:lineRule="auto"/>
        <w:rPr>
          <w:rFonts w:ascii="Garamond" w:eastAsia="Calibri" w:hAnsi="Garamond" w:cs="Calibri"/>
          <w:shd w:val="clear" w:color="auto" w:fill="FFFFFF"/>
        </w:rPr>
      </w:pPr>
      <w:r w:rsidRPr="00EE7A32">
        <w:rPr>
          <w:rFonts w:ascii="Garamond" w:hAnsi="Garamond"/>
          <w:shd w:val="clear" w:color="auto" w:fill="FFFFFF"/>
        </w:rPr>
        <w:t>ufficio.stage@unint.eu</w:t>
      </w:r>
    </w:p>
    <w:p w14:paraId="47C92AE6" w14:textId="77777777" w:rsidR="00EE7A32" w:rsidRPr="00EE7A32" w:rsidRDefault="00EE7A32" w:rsidP="00EE7A32">
      <w:pPr>
        <w:pStyle w:val="Didefault"/>
        <w:spacing w:before="0" w:line="240" w:lineRule="auto"/>
        <w:rPr>
          <w:rFonts w:ascii="Garamond" w:eastAsia="Calibri" w:hAnsi="Garamond" w:cs="Calibri"/>
          <w:shd w:val="clear" w:color="auto" w:fill="FFFFFF"/>
        </w:rPr>
      </w:pPr>
    </w:p>
    <w:p w14:paraId="0B7F9053" w14:textId="77777777" w:rsidR="00EE7A32" w:rsidRPr="00EE7A32" w:rsidRDefault="00EE7A32" w:rsidP="00EE7A32">
      <w:pPr>
        <w:pStyle w:val="Didefault"/>
        <w:spacing w:before="0" w:line="240" w:lineRule="auto"/>
        <w:rPr>
          <w:rFonts w:ascii="Garamond" w:eastAsia="Calibri" w:hAnsi="Garamond" w:cs="Calibri"/>
          <w:shd w:val="clear" w:color="auto" w:fill="FFFFFF"/>
        </w:rPr>
      </w:pPr>
      <w:r w:rsidRPr="00EE7A32">
        <w:rPr>
          <w:rFonts w:ascii="Garamond" w:hAnsi="Garamond"/>
          <w:b/>
          <w:bCs/>
          <w:shd w:val="clear" w:color="auto" w:fill="FFFFFF"/>
        </w:rPr>
        <w:lastRenderedPageBreak/>
        <w:t>SEGRETERIA STUDENTI</w:t>
      </w:r>
    </w:p>
    <w:p w14:paraId="37D080AB" w14:textId="77777777" w:rsidR="00EE7A32" w:rsidRPr="00EE7A32" w:rsidRDefault="00EE7A32" w:rsidP="00EE7A32">
      <w:pPr>
        <w:pStyle w:val="Didefault"/>
        <w:spacing w:before="0" w:line="240" w:lineRule="auto"/>
        <w:rPr>
          <w:rFonts w:ascii="Garamond" w:eastAsia="Calibri" w:hAnsi="Garamond" w:cs="Calibri"/>
          <w:shd w:val="clear" w:color="auto" w:fill="FFFFFF"/>
        </w:rPr>
      </w:pPr>
      <w:r w:rsidRPr="00EE7A32">
        <w:rPr>
          <w:rFonts w:ascii="Garamond" w:hAnsi="Garamond"/>
          <w:shd w:val="clear" w:color="auto" w:fill="FFFFFF"/>
        </w:rPr>
        <w:t>Tel: 06.510.777.401</w:t>
      </w:r>
    </w:p>
    <w:p w14:paraId="54E4E2A8" w14:textId="77777777" w:rsidR="00EE7A32" w:rsidRPr="00EE7A32" w:rsidRDefault="00EE7A32" w:rsidP="00EE7A32">
      <w:pPr>
        <w:pStyle w:val="Didefault"/>
        <w:spacing w:before="0" w:line="240" w:lineRule="auto"/>
        <w:rPr>
          <w:rFonts w:ascii="Garamond" w:eastAsia="Calibri" w:hAnsi="Garamond" w:cs="Calibri"/>
          <w:shd w:val="clear" w:color="auto" w:fill="FFFFFF"/>
        </w:rPr>
      </w:pPr>
      <w:r w:rsidRPr="00EE7A32">
        <w:rPr>
          <w:rFonts w:ascii="Garamond" w:hAnsi="Garamond"/>
          <w:shd w:val="clear" w:color="auto" w:fill="FFFFFF"/>
        </w:rPr>
        <w:t>E-mail: segreteriastudenti@unint.eu</w:t>
      </w:r>
    </w:p>
    <w:p w14:paraId="6BD82C42" w14:textId="77777777" w:rsidR="00EE7A32" w:rsidRPr="00EE7A32" w:rsidRDefault="00EE7A32" w:rsidP="00EE7A32">
      <w:pPr>
        <w:pStyle w:val="Didefault"/>
        <w:spacing w:before="0" w:line="240" w:lineRule="auto"/>
        <w:rPr>
          <w:rFonts w:ascii="Garamond" w:eastAsia="Calibri" w:hAnsi="Garamond" w:cs="Calibri"/>
          <w:shd w:val="clear" w:color="auto" w:fill="FFFFFF"/>
        </w:rPr>
      </w:pPr>
    </w:p>
    <w:p w14:paraId="5F26C906" w14:textId="77777777" w:rsidR="00EE7A32" w:rsidRPr="00EE7A32" w:rsidRDefault="00EE7A32" w:rsidP="00EE7A32">
      <w:pPr>
        <w:pStyle w:val="Didefault"/>
        <w:spacing w:before="0" w:line="240" w:lineRule="auto"/>
        <w:rPr>
          <w:rFonts w:ascii="Garamond" w:eastAsia="Calibri" w:hAnsi="Garamond" w:cs="Calibri"/>
          <w:shd w:val="clear" w:color="auto" w:fill="FFFFFF"/>
        </w:rPr>
      </w:pPr>
      <w:r w:rsidRPr="00EE7A32">
        <w:rPr>
          <w:rFonts w:ascii="Garamond" w:hAnsi="Garamond"/>
          <w:b/>
          <w:bCs/>
          <w:shd w:val="clear" w:color="auto" w:fill="FFFFFF"/>
        </w:rPr>
        <w:t>UFFICIO DIRITTO ALLO STUDIO</w:t>
      </w:r>
    </w:p>
    <w:p w14:paraId="6DFADE7E" w14:textId="77777777" w:rsidR="00EE7A32" w:rsidRPr="00EE7A32" w:rsidRDefault="00EE7A32" w:rsidP="00EE7A32">
      <w:pPr>
        <w:pStyle w:val="Didefault"/>
        <w:spacing w:before="0" w:line="240" w:lineRule="auto"/>
        <w:rPr>
          <w:rFonts w:ascii="Garamond" w:eastAsia="Calibri" w:hAnsi="Garamond" w:cs="Calibri"/>
          <w:shd w:val="clear" w:color="auto" w:fill="FFFFFF"/>
        </w:rPr>
      </w:pPr>
      <w:r w:rsidRPr="00EE7A32">
        <w:rPr>
          <w:rFonts w:ascii="Garamond" w:hAnsi="Garamond"/>
          <w:shd w:val="clear" w:color="auto" w:fill="FFFFFF"/>
        </w:rPr>
        <w:t>Tel: 06.510.777.296</w:t>
      </w:r>
    </w:p>
    <w:p w14:paraId="4C367684" w14:textId="77777777" w:rsidR="00EE7A32" w:rsidRPr="00EE7A32" w:rsidRDefault="00EE7A32" w:rsidP="00EE7A32">
      <w:pPr>
        <w:pStyle w:val="Didefault"/>
        <w:spacing w:before="0" w:line="240" w:lineRule="auto"/>
        <w:rPr>
          <w:rFonts w:ascii="Garamond" w:eastAsia="Calibri" w:hAnsi="Garamond" w:cs="Calibri"/>
          <w:shd w:val="clear" w:color="auto" w:fill="FFFFFF"/>
        </w:rPr>
      </w:pPr>
      <w:r w:rsidRPr="00EE7A32">
        <w:rPr>
          <w:rFonts w:ascii="Garamond" w:hAnsi="Garamond"/>
          <w:shd w:val="clear" w:color="auto" w:fill="FFFFFF"/>
        </w:rPr>
        <w:t>E-mail: dirittoallostudio@unint.eu</w:t>
      </w:r>
    </w:p>
    <w:p w14:paraId="606D91C6" w14:textId="77777777" w:rsidR="00EE7A32" w:rsidRPr="00EE7A32" w:rsidRDefault="00EE7A32" w:rsidP="00EE7A32">
      <w:pPr>
        <w:pStyle w:val="Didefault"/>
        <w:spacing w:before="0" w:line="240" w:lineRule="auto"/>
        <w:rPr>
          <w:rFonts w:ascii="Garamond" w:eastAsia="Calibri" w:hAnsi="Garamond" w:cs="Calibri"/>
          <w:shd w:val="clear" w:color="auto" w:fill="FFFFFF"/>
        </w:rPr>
      </w:pPr>
    </w:p>
    <w:p w14:paraId="667E4161" w14:textId="77777777" w:rsidR="00EE7A32" w:rsidRPr="00EE7A32" w:rsidRDefault="00EE7A32" w:rsidP="00EE7A32">
      <w:pPr>
        <w:pStyle w:val="Didefault"/>
        <w:spacing w:before="0" w:line="240" w:lineRule="auto"/>
        <w:rPr>
          <w:rFonts w:ascii="Garamond" w:eastAsia="Calibri" w:hAnsi="Garamond" w:cs="Calibri"/>
          <w:shd w:val="clear" w:color="auto" w:fill="FFFFFF"/>
        </w:rPr>
      </w:pPr>
      <w:r w:rsidRPr="00EE7A32">
        <w:rPr>
          <w:rFonts w:ascii="Garamond" w:hAnsi="Garamond"/>
          <w:b/>
          <w:bCs/>
          <w:shd w:val="clear" w:color="auto" w:fill="FFFFFF"/>
        </w:rPr>
        <w:t>PRESIDENTE DEL CORSO DI LAUREA MAGISTRALE IN LINGUE PER LA DIDATTICA INNOVATIVA E L'INTERCULTURALITÀ (LM-37)</w:t>
      </w:r>
    </w:p>
    <w:p w14:paraId="149F0806" w14:textId="77777777" w:rsidR="00EE7A32" w:rsidRPr="00EE7A32" w:rsidRDefault="00EE7A32" w:rsidP="00EE7A32">
      <w:pPr>
        <w:pStyle w:val="Didefault"/>
        <w:spacing w:before="0" w:line="240" w:lineRule="auto"/>
        <w:rPr>
          <w:rFonts w:ascii="Garamond" w:eastAsia="Calibri" w:hAnsi="Garamond" w:cs="Calibri"/>
          <w:shd w:val="clear" w:color="auto" w:fill="FFFFFF"/>
        </w:rPr>
      </w:pPr>
      <w:r w:rsidRPr="00EE7A32">
        <w:rPr>
          <w:rFonts w:ascii="Garamond" w:hAnsi="Garamond"/>
          <w:shd w:val="clear" w:color="auto" w:fill="FFFFFF"/>
        </w:rPr>
        <w:t>Salvatore Patera</w:t>
      </w:r>
    </w:p>
    <w:p w14:paraId="3403833B" w14:textId="77777777" w:rsidR="00EE7A32" w:rsidRPr="00EE7A32" w:rsidRDefault="00EE7A32" w:rsidP="00EE7A32">
      <w:pPr>
        <w:pStyle w:val="Didefault"/>
        <w:spacing w:before="0" w:line="240" w:lineRule="auto"/>
        <w:rPr>
          <w:rFonts w:ascii="Garamond" w:eastAsia="Calibri" w:hAnsi="Garamond" w:cs="Calibri"/>
          <w:shd w:val="clear" w:color="auto" w:fill="FFFFFF"/>
        </w:rPr>
      </w:pPr>
      <w:r w:rsidRPr="00EE7A32">
        <w:rPr>
          <w:rFonts w:ascii="Garamond" w:hAnsi="Garamond"/>
          <w:shd w:val="clear" w:color="auto" w:fill="FFFFFF"/>
        </w:rPr>
        <w:t>Contatti della segreteria:</w:t>
      </w:r>
    </w:p>
    <w:p w14:paraId="05CE38FE" w14:textId="77777777" w:rsidR="00EE7A32" w:rsidRPr="00EE7A32" w:rsidRDefault="00EE7A32" w:rsidP="00EE7A32">
      <w:pPr>
        <w:pStyle w:val="Didefault"/>
        <w:spacing w:before="0" w:line="240" w:lineRule="auto"/>
        <w:rPr>
          <w:rFonts w:ascii="Garamond" w:eastAsia="Calibri" w:hAnsi="Garamond" w:cs="Calibri"/>
          <w:shd w:val="clear" w:color="auto" w:fill="FFFFFF"/>
        </w:rPr>
      </w:pPr>
      <w:r w:rsidRPr="00EE7A32">
        <w:rPr>
          <w:rFonts w:ascii="Garamond" w:hAnsi="Garamond"/>
          <w:shd w:val="clear" w:color="auto" w:fill="FFFFFF"/>
        </w:rPr>
        <w:t>Tel: 06.510.777.230</w:t>
      </w:r>
    </w:p>
    <w:p w14:paraId="536D117C" w14:textId="77777777" w:rsidR="00EE7A32" w:rsidRPr="00EE7A32" w:rsidRDefault="00EE7A32" w:rsidP="00EE7A32">
      <w:pPr>
        <w:pStyle w:val="Didefault"/>
        <w:spacing w:before="0" w:line="240" w:lineRule="auto"/>
        <w:rPr>
          <w:rFonts w:ascii="Garamond" w:eastAsia="Calibri" w:hAnsi="Garamond" w:cs="Calibri"/>
          <w:shd w:val="clear" w:color="auto" w:fill="FFFFFF"/>
        </w:rPr>
      </w:pPr>
      <w:r w:rsidRPr="00EE7A32">
        <w:rPr>
          <w:rFonts w:ascii="Garamond" w:hAnsi="Garamond"/>
          <w:shd w:val="clear" w:color="auto" w:fill="FFFFFF"/>
        </w:rPr>
        <w:t>E-mail: presidenza.Im37@unint.eu</w:t>
      </w:r>
    </w:p>
    <w:p w14:paraId="1A449824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</w:p>
    <w:p w14:paraId="548D6B9A" w14:textId="77777777" w:rsidR="00EE7A32" w:rsidRPr="00EE7A32" w:rsidRDefault="00EE7A32" w:rsidP="00EE7A32">
      <w:pPr>
        <w:pStyle w:val="Titolo3"/>
      </w:pPr>
      <w:r w:rsidRPr="00EE7A32">
        <w:t>7. Il ruolo del tutor nei corsi di laurea erogati in modalità prevalentemente a distanza</w:t>
      </w:r>
      <w:r w:rsidRPr="00EE7A32">
        <w:rPr>
          <w:vertAlign w:val="superscript"/>
        </w:rPr>
        <w:footnoteReference w:id="3"/>
      </w:r>
    </w:p>
    <w:p w14:paraId="5065DA92" w14:textId="77777777" w:rsidR="00EE7A32" w:rsidRPr="00EE7A32" w:rsidRDefault="00EE7A32" w:rsidP="00EE7A32">
      <w:pPr>
        <w:pStyle w:val="Normal2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>Nei corsi di laurea erogati in modalità prevalentemente a distanza, il tutor svolge un ruolo centrale nel garantire la qualità, la continuità e l’efficacia della didattica fornendo supporto didattico e orientamento personalizzato, accompagnando gli studenti nell’utilizzo delle risorse formative e favorendo l’inserimento dei neo-immatricolati nel sistema universitario digitale. Il tutor altresì gestisce e anima gli ambienti virtuali, promuove l’interazione e il dialogo accademico e svolge attività di monitoraggio continuo dell’andamento della classe. Il tutor, inoltre, collabora con i docenti nella pianificazione di interventi correttivi e garantisce trasparenza comunicativa attraverso incontri informativi e report periodici. Assicura inoltre supporto metodologico costante, promuove la partecipazione attiva e svolge funzioni di raccordo didattico e amministrativo, contribuendo a un’esperienza formativa di elevata qualità e piena trasparenza operativa. Per contattare il tutor, è possibile consultare il sito unint.eu, seguendo il percorso: Info per → Futuri studenti → Corso di laurea magistrale in Lingue per la didattica innovativa e l’interculturalità – Indirizzo Didattica → Tutoring.</w:t>
      </w:r>
    </w:p>
    <w:p w14:paraId="6E7EF4E5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</w:p>
    <w:p w14:paraId="1785D793" w14:textId="77777777" w:rsidR="00EE7A32" w:rsidRPr="00EE7A32" w:rsidRDefault="00EE7A32" w:rsidP="00EE7A32">
      <w:pPr>
        <w:pStyle w:val="Titolo3"/>
      </w:pPr>
      <w:r w:rsidRPr="00EE7A32">
        <w:t>8. Attivazione della mail d’Ateneo</w:t>
      </w:r>
    </w:p>
    <w:p w14:paraId="04ABE8EA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>A seguito dell’immatricolazione, è necessaria l’attivazione e l’uso esclusivo della mail istituzionale dell’Ateneo, in quanto tutte le comunicazioni ufficiali del corso, dei docenti e della Segreteria Studenti avverranno esclusivamente tramite questo canale.</w:t>
      </w:r>
    </w:p>
    <w:p w14:paraId="52130990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>L’utilizzo regolare della mail di Ateneo garantisce:</w:t>
      </w:r>
    </w:p>
    <w:p w14:paraId="3F62A7C3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>- ricezione tempestiva di comunicazioni didattiche e amministrative;</w:t>
      </w:r>
    </w:p>
    <w:p w14:paraId="46CAC47F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>- accesso sicuro a piattaforme e risorse online dell’Ateneo;</w:t>
      </w:r>
    </w:p>
    <w:p w14:paraId="6BE1221D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  <w:r w:rsidRPr="00EE7A32">
        <w:rPr>
          <w:rFonts w:ascii="Garamond" w:hAnsi="Garamond"/>
          <w:sz w:val="24"/>
          <w:szCs w:val="24"/>
        </w:rPr>
        <w:t>- maggiore efficienza nella gestione del percorso di studi.</w:t>
      </w:r>
    </w:p>
    <w:p w14:paraId="36E6948B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</w:p>
    <w:p w14:paraId="46DD6273" w14:textId="77777777" w:rsidR="00EE7A32" w:rsidRPr="00EE7A32" w:rsidRDefault="00EE7A32" w:rsidP="00EE7A32">
      <w:pPr>
        <w:spacing w:line="240" w:lineRule="auto"/>
        <w:rPr>
          <w:rFonts w:ascii="Garamond" w:hAnsi="Garamond"/>
          <w:sz w:val="24"/>
          <w:szCs w:val="24"/>
        </w:rPr>
      </w:pPr>
    </w:p>
    <w:p w14:paraId="517DAAAE" w14:textId="77777777" w:rsidR="00834DED" w:rsidRPr="00EE7A32" w:rsidRDefault="00834DED" w:rsidP="00EE7A32">
      <w:pPr>
        <w:rPr>
          <w:rFonts w:ascii="Garamond" w:hAnsi="Garamond"/>
          <w:b/>
          <w:sz w:val="24"/>
          <w:szCs w:val="24"/>
        </w:rPr>
      </w:pPr>
    </w:p>
    <w:p w14:paraId="37827A88" w14:textId="70E73A27" w:rsidR="008235BA" w:rsidRPr="00EE7A32" w:rsidRDefault="008235BA" w:rsidP="00EE7A32">
      <w:pPr>
        <w:rPr>
          <w:rFonts w:ascii="Garamond" w:hAnsi="Garamond"/>
          <w:sz w:val="24"/>
          <w:szCs w:val="24"/>
        </w:rPr>
      </w:pPr>
    </w:p>
    <w:sectPr w:rsidR="008235BA" w:rsidRPr="00EE7A32" w:rsidSect="0061774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43" w:right="1134" w:bottom="1134" w:left="1134" w:header="708" w:footer="9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F42D9" w14:textId="77777777" w:rsidR="00A301B1" w:rsidRDefault="00A301B1" w:rsidP="003D5EDE">
      <w:pPr>
        <w:spacing w:line="240" w:lineRule="auto"/>
      </w:pPr>
      <w:r>
        <w:separator/>
      </w:r>
    </w:p>
  </w:endnote>
  <w:endnote w:type="continuationSeparator" w:id="0">
    <w:p w14:paraId="36A25C5F" w14:textId="77777777" w:rsidR="00A301B1" w:rsidRDefault="00A301B1" w:rsidP="003D5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C6D6" w14:textId="371F58AB" w:rsidR="00AF5353" w:rsidRPr="008E5AA3" w:rsidRDefault="00AF5353" w:rsidP="00AF5353">
    <w:pPr>
      <w:pStyle w:val="Paragrafobase"/>
      <w:spacing w:line="240" w:lineRule="auto"/>
      <w:ind w:left="284"/>
      <w:rPr>
        <w:rFonts w:ascii="Calibri" w:hAnsi="Calibri" w:cs="Open Sans"/>
        <w:color w:val="0076CC"/>
        <w:sz w:val="20"/>
        <w:szCs w:val="20"/>
      </w:rPr>
    </w:pPr>
    <w:r w:rsidRPr="008E5AA3">
      <w:rPr>
        <w:rFonts w:ascii="Calibri" w:hAnsi="Calibri" w:cs="Open Sans"/>
        <w:b/>
        <w:bCs/>
        <w:noProof/>
        <w:color w:val="0076CC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3052513" wp14:editId="676C1C3F">
              <wp:simplePos x="0" y="0"/>
              <wp:positionH relativeFrom="column">
                <wp:posOffset>33020</wp:posOffset>
              </wp:positionH>
              <wp:positionV relativeFrom="paragraph">
                <wp:posOffset>37239</wp:posOffset>
              </wp:positionV>
              <wp:extent cx="132" cy="396000"/>
              <wp:effectExtent l="19050" t="0" r="38100" b="23495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2" cy="396000"/>
                      </a:xfrm>
                      <a:prstGeom prst="line">
                        <a:avLst/>
                      </a:prstGeom>
                      <a:ln w="63500">
                        <a:solidFill>
                          <a:srgbClr val="C100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0E3CC7F3" id="Connettore 1 2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pt,2.95pt" to="2.6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" strokecolor="#c1001f" strokeweight="5pt">
              <v:stroke joinstyle="miter"/>
            </v:line>
          </w:pict>
        </mc:Fallback>
      </mc:AlternateContent>
    </w:r>
    <w:r w:rsidRPr="008E5AA3">
      <w:rPr>
        <w:rFonts w:ascii="Calibri" w:hAnsi="Calibri" w:cs="Open Sans"/>
        <w:b/>
        <w:bCs/>
        <w:color w:val="0076CC"/>
        <w:sz w:val="18"/>
        <w:szCs w:val="18"/>
      </w:rPr>
      <w:t xml:space="preserve">  </w:t>
    </w:r>
    <w:r w:rsidRPr="008E5AA3">
      <w:rPr>
        <w:rFonts w:ascii="Calibri" w:hAnsi="Calibri" w:cs="Open Sans"/>
        <w:b/>
        <w:bCs/>
        <w:color w:val="0076CC"/>
        <w:sz w:val="20"/>
        <w:szCs w:val="20"/>
      </w:rPr>
      <w:t>Università degli Studi Internazionali di Roma - UN</w:t>
    </w:r>
    <w:r w:rsidRPr="008E5AA3">
      <w:rPr>
        <w:rFonts w:ascii="Calibri" w:hAnsi="Calibri" w:cs="Open Sans"/>
        <w:b/>
        <w:bCs/>
        <w:color w:val="C1001E"/>
        <w:sz w:val="20"/>
        <w:szCs w:val="20"/>
      </w:rPr>
      <w:t>I</w:t>
    </w:r>
    <w:r w:rsidRPr="008E5AA3">
      <w:rPr>
        <w:rFonts w:ascii="Calibri" w:hAnsi="Calibri" w:cs="Open Sans"/>
        <w:b/>
        <w:bCs/>
        <w:color w:val="0076CC"/>
        <w:sz w:val="20"/>
        <w:szCs w:val="20"/>
      </w:rPr>
      <w:t>NT</w:t>
    </w:r>
  </w:p>
  <w:p w14:paraId="1774CB0C" w14:textId="4EE310B9" w:rsidR="00AF5353" w:rsidRPr="008E5AA3" w:rsidRDefault="00AF5353" w:rsidP="00AF5353">
    <w:pPr>
      <w:pStyle w:val="Paragrafobase"/>
      <w:spacing w:line="240" w:lineRule="auto"/>
      <w:ind w:left="284"/>
      <w:rPr>
        <w:rFonts w:ascii="Calibri" w:hAnsi="Calibri" w:cs="Open Sans"/>
        <w:color w:val="0076CC"/>
        <w:sz w:val="20"/>
        <w:szCs w:val="20"/>
      </w:rPr>
    </w:pPr>
    <w:r w:rsidRPr="008E5AA3">
      <w:rPr>
        <w:rFonts w:ascii="Calibri" w:hAnsi="Calibri" w:cs="Open Sans"/>
        <w:color w:val="0076CC"/>
        <w:sz w:val="20"/>
        <w:szCs w:val="20"/>
      </w:rPr>
      <w:t xml:space="preserve">  Via Cristoforo Colombo 200  </w:t>
    </w:r>
    <w:r w:rsidRPr="008E5AA3">
      <w:rPr>
        <w:rFonts w:ascii="Calibri" w:hAnsi="Calibri" w:cs="Open Sans"/>
        <w:color w:val="C1001E"/>
        <w:sz w:val="20"/>
        <w:szCs w:val="20"/>
      </w:rPr>
      <w:t xml:space="preserve">| </w:t>
    </w:r>
    <w:r w:rsidRPr="008E5AA3">
      <w:rPr>
        <w:rFonts w:ascii="Calibri" w:hAnsi="Calibri" w:cs="Open Sans"/>
        <w:color w:val="0076CC"/>
        <w:sz w:val="20"/>
        <w:szCs w:val="20"/>
      </w:rPr>
      <w:t xml:space="preserve"> 00147 Roma  </w:t>
    </w:r>
    <w:r w:rsidRPr="008E5AA3">
      <w:rPr>
        <w:rFonts w:ascii="Calibri" w:hAnsi="Calibri" w:cs="Open Sans"/>
        <w:color w:val="C1001E"/>
        <w:sz w:val="20"/>
        <w:szCs w:val="20"/>
      </w:rPr>
      <w:t>|</w:t>
    </w:r>
    <w:r w:rsidRPr="008E5AA3">
      <w:rPr>
        <w:rFonts w:ascii="Calibri" w:hAnsi="Calibri" w:cs="Open Sans"/>
        <w:color w:val="0076CC"/>
        <w:sz w:val="20"/>
        <w:szCs w:val="20"/>
      </w:rPr>
      <w:t xml:space="preserve">  T +39 06 5107771  </w:t>
    </w:r>
    <w:r w:rsidRPr="008E5AA3">
      <w:rPr>
        <w:rFonts w:ascii="Calibri" w:hAnsi="Calibri" w:cs="Open Sans"/>
        <w:color w:val="C1001E"/>
        <w:sz w:val="20"/>
        <w:szCs w:val="20"/>
      </w:rPr>
      <w:t xml:space="preserve">|  </w:t>
    </w:r>
    <w:r w:rsidRPr="008E5AA3">
      <w:rPr>
        <w:rFonts w:ascii="Calibri" w:hAnsi="Calibri" w:cs="Open Sans"/>
        <w:color w:val="0076CC"/>
        <w:sz w:val="20"/>
        <w:szCs w:val="20"/>
      </w:rPr>
      <w:t xml:space="preserve">unint.eu </w:t>
    </w:r>
    <w:r w:rsidRPr="008E5AA3">
      <w:rPr>
        <w:rFonts w:ascii="Calibri" w:hAnsi="Calibri" w:cs="Open Sans"/>
        <w:color w:val="C1001E"/>
        <w:sz w:val="20"/>
        <w:szCs w:val="20"/>
      </w:rPr>
      <w:t xml:space="preserve"> |  </w:t>
    </w:r>
    <w:r w:rsidRPr="008E5AA3">
      <w:rPr>
        <w:rFonts w:ascii="Calibri" w:hAnsi="Calibri" w:cs="Open Sans"/>
        <w:color w:val="0076CC"/>
        <w:sz w:val="20"/>
        <w:szCs w:val="20"/>
      </w:rPr>
      <w:t>PEC: unint@pec.it</w:t>
    </w:r>
  </w:p>
  <w:p w14:paraId="769E53E3" w14:textId="15815BF5" w:rsidR="00AF5353" w:rsidRPr="008E5AA3" w:rsidRDefault="00AF5353" w:rsidP="00AF5353">
    <w:pPr>
      <w:pStyle w:val="Paragrafobase"/>
      <w:spacing w:line="240" w:lineRule="auto"/>
      <w:ind w:left="284"/>
      <w:rPr>
        <w:rFonts w:ascii="Calibri" w:hAnsi="Calibri" w:cs="Open Sans"/>
        <w:color w:val="0076CC"/>
        <w:sz w:val="20"/>
        <w:szCs w:val="20"/>
      </w:rPr>
    </w:pPr>
    <w:r w:rsidRPr="008E5AA3">
      <w:rPr>
        <w:rFonts w:ascii="Calibri" w:hAnsi="Calibri" w:cs="Open Sans"/>
        <w:color w:val="0076CC"/>
        <w:sz w:val="20"/>
        <w:szCs w:val="20"/>
      </w:rPr>
      <w:t xml:space="preserve">  C.F. 97136680580  </w:t>
    </w:r>
    <w:r w:rsidRPr="008E5AA3">
      <w:rPr>
        <w:rFonts w:ascii="Calibri" w:hAnsi="Calibri" w:cs="Open Sans"/>
        <w:color w:val="C1001E"/>
        <w:sz w:val="20"/>
        <w:szCs w:val="20"/>
      </w:rPr>
      <w:t>|</w:t>
    </w:r>
    <w:r w:rsidRPr="008E5AA3">
      <w:rPr>
        <w:rFonts w:ascii="Calibri" w:hAnsi="Calibri" w:cs="Open Sans"/>
        <w:color w:val="0076CC"/>
        <w:sz w:val="20"/>
        <w:szCs w:val="20"/>
      </w:rPr>
      <w:t xml:space="preserve">  P.I. 05639791002   </w:t>
    </w:r>
    <w:r w:rsidRPr="008E5AA3">
      <w:rPr>
        <w:rFonts w:ascii="Calibri" w:hAnsi="Calibri" w:cs="Open Sans"/>
        <w:color w:val="C1001E"/>
        <w:sz w:val="20"/>
        <w:szCs w:val="20"/>
      </w:rPr>
      <w:t xml:space="preserve">| </w:t>
    </w:r>
    <w:r w:rsidRPr="008E5AA3">
      <w:rPr>
        <w:rFonts w:ascii="Calibri" w:hAnsi="Calibri" w:cs="Open Sans"/>
        <w:color w:val="0076CC"/>
        <w:sz w:val="20"/>
        <w:szCs w:val="20"/>
      </w:rPr>
      <w:t xml:space="preserve"> Registro Persone Giuridiche n. 884/2012  </w:t>
    </w:r>
    <w:r w:rsidRPr="008E5AA3">
      <w:rPr>
        <w:rFonts w:ascii="Calibri" w:hAnsi="Calibri" w:cs="Open Sans"/>
        <w:color w:val="C1001E"/>
        <w:sz w:val="20"/>
        <w:szCs w:val="20"/>
      </w:rPr>
      <w:t>|</w:t>
    </w:r>
    <w:r w:rsidRPr="008E5AA3">
      <w:rPr>
        <w:rFonts w:ascii="Calibri" w:hAnsi="Calibri" w:cs="Open Sans"/>
        <w:color w:val="0076CC"/>
        <w:sz w:val="20"/>
        <w:szCs w:val="20"/>
      </w:rPr>
      <w:t xml:space="preserve">  Codice SDI: M5UXCR1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291A" w14:textId="77777777" w:rsidR="00CF26CA" w:rsidRDefault="00CF26CA" w:rsidP="00CF26CA">
    <w:pPr>
      <w:pStyle w:val="Paragrafobase"/>
      <w:spacing w:line="240" w:lineRule="auto"/>
      <w:ind w:left="142"/>
      <w:rPr>
        <w:rFonts w:asciiTheme="minorHAnsi" w:hAnsiTheme="minorHAnsi" w:cs="Open Sans"/>
        <w:b/>
        <w:bCs/>
        <w:color w:val="0075B9"/>
        <w:sz w:val="20"/>
        <w:szCs w:val="20"/>
      </w:rPr>
    </w:pPr>
  </w:p>
  <w:p w14:paraId="78E50446" w14:textId="77777777" w:rsidR="00CF26CA" w:rsidRDefault="00CF26CA" w:rsidP="00CF26CA">
    <w:pPr>
      <w:pStyle w:val="Paragrafobase"/>
      <w:spacing w:line="240" w:lineRule="auto"/>
      <w:ind w:left="142"/>
      <w:rPr>
        <w:rFonts w:asciiTheme="minorHAnsi" w:hAnsiTheme="minorHAnsi" w:cs="Open Sans"/>
        <w:b/>
        <w:bCs/>
        <w:color w:val="0075B9"/>
        <w:sz w:val="20"/>
        <w:szCs w:val="20"/>
      </w:rPr>
    </w:pPr>
  </w:p>
  <w:p w14:paraId="6AA3A9BC" w14:textId="77777777" w:rsidR="00CF26CA" w:rsidRDefault="00CF26CA" w:rsidP="00CF26CA">
    <w:pPr>
      <w:pStyle w:val="Paragrafobase"/>
      <w:spacing w:line="240" w:lineRule="auto"/>
      <w:ind w:left="142"/>
      <w:rPr>
        <w:rFonts w:asciiTheme="minorHAnsi" w:hAnsiTheme="minorHAnsi" w:cs="Open Sans"/>
        <w:b/>
        <w:bCs/>
        <w:color w:val="0075B9"/>
        <w:sz w:val="20"/>
        <w:szCs w:val="20"/>
      </w:rPr>
    </w:pPr>
  </w:p>
  <w:p w14:paraId="144EEED8" w14:textId="0E2B70EB" w:rsidR="00CF26CA" w:rsidRDefault="00572E9F" w:rsidP="00CF26CA">
    <w:pPr>
      <w:pStyle w:val="Paragrafobase"/>
      <w:spacing w:line="240" w:lineRule="auto"/>
      <w:ind w:left="142"/>
      <w:rPr>
        <w:rFonts w:asciiTheme="minorHAnsi" w:hAnsiTheme="minorHAnsi" w:cs="Open Sans"/>
        <w:b/>
        <w:bCs/>
        <w:color w:val="0075B9"/>
        <w:sz w:val="20"/>
        <w:szCs w:val="20"/>
      </w:rPr>
    </w:pPr>
    <w:r w:rsidRPr="00724E38">
      <w:rPr>
        <w:rFonts w:asciiTheme="minorHAnsi" w:hAnsiTheme="minorHAnsi" w:cs="Open Sans"/>
        <w:b/>
        <w:bCs/>
        <w:noProof/>
        <w:color w:val="0076CC"/>
        <w:sz w:val="22"/>
        <w:szCs w:val="22"/>
        <w:lang w:eastAsia="it-IT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DA5E162" wp14:editId="02128A7C">
              <wp:simplePos x="0" y="0"/>
              <wp:positionH relativeFrom="column">
                <wp:posOffset>3810</wp:posOffset>
              </wp:positionH>
              <wp:positionV relativeFrom="paragraph">
                <wp:posOffset>108585</wp:posOffset>
              </wp:positionV>
              <wp:extent cx="45085" cy="227330"/>
              <wp:effectExtent l="0" t="0" r="0" b="1270"/>
              <wp:wrapNone/>
              <wp:docPr id="1858181374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22733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193A4C18" id="Rettangolo 1" o:spid="_x0000_s1026" style="position:absolute;margin-left:.3pt;margin-top:8.55pt;width:3.55pt;height:17.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" fillcolor="#c00000" stroked="f" strokeweight="1pt"/>
          </w:pict>
        </mc:Fallback>
      </mc:AlternateContent>
    </w:r>
  </w:p>
  <w:p w14:paraId="17DEE939" w14:textId="1A176286" w:rsidR="00CF26CA" w:rsidRPr="00724E38" w:rsidRDefault="00CF26CA" w:rsidP="00572E9F">
    <w:pPr>
      <w:pStyle w:val="Paragrafobase"/>
      <w:tabs>
        <w:tab w:val="left" w:pos="284"/>
      </w:tabs>
      <w:spacing w:line="240" w:lineRule="auto"/>
      <w:ind w:left="284"/>
      <w:rPr>
        <w:rFonts w:asciiTheme="minorHAnsi" w:hAnsiTheme="minorHAnsi" w:cs="Open Sans"/>
        <w:color w:val="0076CC"/>
        <w:sz w:val="18"/>
        <w:szCs w:val="18"/>
      </w:rPr>
    </w:pPr>
    <w:r w:rsidRPr="00724E38">
      <w:rPr>
        <w:rFonts w:asciiTheme="minorHAnsi" w:hAnsiTheme="minorHAnsi" w:cs="Open Sans"/>
        <w:color w:val="0076CC"/>
        <w:sz w:val="18"/>
        <w:szCs w:val="18"/>
      </w:rPr>
      <w:t xml:space="preserve">Via Cristoforo Colombo 200 | 00147 Roma | T +39 06 5107771 | unint.eu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0349" w14:textId="77777777" w:rsidR="00A301B1" w:rsidRDefault="00A301B1" w:rsidP="003D5EDE">
      <w:pPr>
        <w:spacing w:line="240" w:lineRule="auto"/>
      </w:pPr>
      <w:r>
        <w:separator/>
      </w:r>
    </w:p>
  </w:footnote>
  <w:footnote w:type="continuationSeparator" w:id="0">
    <w:p w14:paraId="2631C0F2" w14:textId="77777777" w:rsidR="00A301B1" w:rsidRDefault="00A301B1" w:rsidP="003D5EDE">
      <w:pPr>
        <w:spacing w:line="240" w:lineRule="auto"/>
      </w:pPr>
      <w:r>
        <w:continuationSeparator/>
      </w:r>
    </w:p>
  </w:footnote>
  <w:footnote w:id="1">
    <w:p w14:paraId="3616BA55" w14:textId="77777777" w:rsidR="00EE7A32" w:rsidRPr="009453A9" w:rsidRDefault="00EE7A32" w:rsidP="00EE7A32">
      <w:pPr>
        <w:spacing w:line="240" w:lineRule="auto"/>
      </w:pPr>
      <w:r>
        <w:rPr>
          <w:b/>
          <w:bCs/>
          <w:i/>
          <w:iCs/>
          <w:vertAlign w:val="superscript"/>
        </w:rPr>
        <w:footnoteRef/>
      </w:r>
      <w:r>
        <w:rPr>
          <w:sz w:val="16"/>
          <w:szCs w:val="16"/>
        </w:rPr>
        <w:t xml:space="preserve"> L’impiego del genere maschile nel presente documento è da intendersi riferito a tutte le persone, indipendentemente dal genere di appartenenza, ed è finalizzato esclusivamente a garantire la sintesi e la leggibilità del testo</w:t>
      </w:r>
    </w:p>
  </w:footnote>
  <w:footnote w:id="2">
    <w:p w14:paraId="20F71F94" w14:textId="77777777" w:rsidR="00EE7A32" w:rsidRPr="009453A9" w:rsidRDefault="00EE7A32" w:rsidP="00EE7A32">
      <w:pPr>
        <w:pStyle w:val="Testonotaapidipagina"/>
        <w:jc w:val="both"/>
        <w:rPr>
          <w:lang w:val="it-IT"/>
        </w:rPr>
      </w:pPr>
      <w:r>
        <w:rPr>
          <w:vertAlign w:val="superscript"/>
          <w:lang w:val="it-IT"/>
        </w:rPr>
        <w:footnoteRef/>
      </w:r>
      <w:r>
        <w:rPr>
          <w:sz w:val="16"/>
          <w:szCs w:val="16"/>
          <w:lang w:val="it-IT"/>
        </w:rPr>
        <w:t xml:space="preserve"> Per quanto non espressamente previsto nel presente documento e per ogni ulteriore dettaglio tecnico e operativo, si rimanda a quanto disciplinato dal </w:t>
      </w:r>
      <w:r>
        <w:rPr>
          <w:i/>
          <w:iCs/>
          <w:sz w:val="16"/>
          <w:szCs w:val="16"/>
          <w:lang w:val="it-IT"/>
        </w:rPr>
        <w:t>Regolamento sulle modalità di organizzazione ed erogazione degli insegnamenti a distanza</w:t>
      </w:r>
      <w:r>
        <w:rPr>
          <w:sz w:val="16"/>
          <w:szCs w:val="16"/>
          <w:lang w:val="it-IT"/>
        </w:rPr>
        <w:t xml:space="preserve">, dalle </w:t>
      </w:r>
      <w:r>
        <w:rPr>
          <w:i/>
          <w:iCs/>
          <w:sz w:val="16"/>
          <w:szCs w:val="16"/>
          <w:lang w:val="it-IT"/>
        </w:rPr>
        <w:t>Linee guida operative</w:t>
      </w:r>
      <w:r>
        <w:rPr>
          <w:sz w:val="16"/>
          <w:szCs w:val="16"/>
          <w:lang w:val="it-IT"/>
        </w:rPr>
        <w:t xml:space="preserve"> (emanate con D.R. n. 225 del 24 giugno 2025), nonché dal </w:t>
      </w:r>
      <w:r>
        <w:rPr>
          <w:i/>
          <w:iCs/>
          <w:sz w:val="16"/>
          <w:szCs w:val="16"/>
          <w:lang w:val="it-IT"/>
        </w:rPr>
        <w:t>Regolamento del Corso di Studio</w:t>
      </w:r>
      <w:r>
        <w:rPr>
          <w:sz w:val="16"/>
          <w:szCs w:val="16"/>
          <w:lang w:val="it-IT"/>
        </w:rPr>
        <w:t xml:space="preserve"> e, specificamente per la LM-37, dalla relativa </w:t>
      </w:r>
      <w:r>
        <w:rPr>
          <w:i/>
          <w:iCs/>
          <w:sz w:val="16"/>
          <w:szCs w:val="16"/>
          <w:lang w:val="it-IT"/>
        </w:rPr>
        <w:t>Carta dei Servizi</w:t>
      </w:r>
    </w:p>
  </w:footnote>
  <w:footnote w:id="3">
    <w:p w14:paraId="43833C4B" w14:textId="77777777" w:rsidR="00EE7A32" w:rsidRPr="009453A9" w:rsidRDefault="00EE7A32" w:rsidP="00EE7A32">
      <w:pPr>
        <w:pStyle w:val="Testonotaapidipagina"/>
        <w:jc w:val="both"/>
        <w:rPr>
          <w:lang w:val="it-IT"/>
        </w:rPr>
      </w:pPr>
      <w:r>
        <w:rPr>
          <w:sz w:val="22"/>
          <w:szCs w:val="22"/>
          <w:vertAlign w:val="superscript"/>
          <w:lang w:val="it-IT"/>
        </w:rPr>
        <w:footnoteRef/>
      </w:r>
      <w:r>
        <w:rPr>
          <w:sz w:val="16"/>
          <w:szCs w:val="16"/>
          <w:lang w:val="it-IT"/>
        </w:rPr>
        <w:t xml:space="preserve"> La figura del tutor e i suoi compiti sono regolati ed esplicitati integralmente nella Carta dei Servizi della LM-37, documento fondamentale che disciplina le specifiche modalità di supporto e monitoraggio per un corso di laurea erogato in modalità prevalentemente a distanza, garantendo così un'esperienza formativa di eccellenza e piena trasparenza operativa.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3218" w14:textId="0B78C2D9" w:rsidR="00572E9F" w:rsidRDefault="008C3DBF" w:rsidP="00617742">
    <w:pPr>
      <w:pStyle w:val="Intestazione"/>
      <w:ind w:firstLine="142"/>
    </w:pPr>
    <w:r w:rsidRPr="00617742">
      <w:rPr>
        <w:noProof/>
        <w:color w:val="0076CC"/>
        <w:lang w:eastAsia="it-IT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68ED5F0B" wp14:editId="7AFDE430">
              <wp:simplePos x="0" y="0"/>
              <wp:positionH relativeFrom="column">
                <wp:posOffset>3121829</wp:posOffset>
              </wp:positionH>
              <wp:positionV relativeFrom="paragraph">
                <wp:posOffset>25400</wp:posOffset>
              </wp:positionV>
              <wp:extent cx="3406140" cy="396240"/>
              <wp:effectExtent l="0" t="0" r="0" b="381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6140" cy="396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8355D" w14:textId="77777777" w:rsidR="008C3DBF" w:rsidRPr="00192DA2" w:rsidRDefault="008C3DBF" w:rsidP="008C3DBF">
                          <w:pPr>
                            <w:pStyle w:val="Paragrafobase"/>
                            <w:spacing w:line="240" w:lineRule="auto"/>
                            <w:jc w:val="left"/>
                            <w:rPr>
                              <w:rStyle w:val="Riferimentointenso"/>
                            </w:rPr>
                          </w:pPr>
                          <w:r w:rsidRPr="00192DA2">
                            <w:rPr>
                              <w:rStyle w:val="Riferimentointenso"/>
                            </w:rPr>
                            <w:t>Commissione di Ateneo per la Didattica a Distanza</w:t>
                          </w:r>
                        </w:p>
                        <w:p w14:paraId="3C87638A" w14:textId="323CE775" w:rsidR="00617742" w:rsidRPr="00192DA2" w:rsidRDefault="008C3DBF" w:rsidP="008C3DBF">
                          <w:pPr>
                            <w:pStyle w:val="Paragrafobase"/>
                            <w:spacing w:line="240" w:lineRule="auto"/>
                            <w:jc w:val="left"/>
                            <w:rPr>
                              <w:rStyle w:val="Riferimentointenso"/>
                            </w:rPr>
                          </w:pPr>
                          <w:r w:rsidRPr="00192DA2">
                            <w:rPr>
                              <w:rStyle w:val="Riferimentointenso"/>
                            </w:rPr>
                            <w:t>CADD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D5F0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45.8pt;margin-top:2pt;width:268.2pt;height:31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" filled="f" stroked="f">
              <v:textbox>
                <w:txbxContent>
                  <w:p w14:paraId="6588355D" w14:textId="77777777" w:rsidR="008C3DBF" w:rsidRPr="00192DA2" w:rsidRDefault="008C3DBF" w:rsidP="008C3DBF">
                    <w:pPr>
                      <w:pStyle w:val="Paragrafobase"/>
                      <w:spacing w:line="240" w:lineRule="auto"/>
                      <w:jc w:val="left"/>
                      <w:rPr>
                        <w:rStyle w:val="Riferimentointenso"/>
                      </w:rPr>
                    </w:pPr>
                    <w:r w:rsidRPr="00192DA2">
                      <w:rPr>
                        <w:rStyle w:val="Riferimentointenso"/>
                      </w:rPr>
                      <w:t>Commissione di Ateneo per la Didattica a Distanza</w:t>
                    </w:r>
                  </w:p>
                  <w:p w14:paraId="3C87638A" w14:textId="323CE775" w:rsidR="00617742" w:rsidRPr="00192DA2" w:rsidRDefault="008C3DBF" w:rsidP="008C3DBF">
                    <w:pPr>
                      <w:pStyle w:val="Paragrafobase"/>
                      <w:spacing w:line="240" w:lineRule="auto"/>
                      <w:jc w:val="left"/>
                      <w:rPr>
                        <w:rStyle w:val="Riferimentointenso"/>
                      </w:rPr>
                    </w:pPr>
                    <w:r w:rsidRPr="00192DA2">
                      <w:rPr>
                        <w:rStyle w:val="Riferimentointenso"/>
                      </w:rPr>
                      <w:t>CADD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71424" w:rsidRPr="00617742">
      <w:rPr>
        <w:rFonts w:cs="Open Sans"/>
        <w:noProof/>
        <w:color w:val="0076CC"/>
        <w:sz w:val="22"/>
        <w:lang w:eastAsia="it-IT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7403BA9" wp14:editId="08A52442">
              <wp:simplePos x="0" y="0"/>
              <wp:positionH relativeFrom="column">
                <wp:posOffset>3050433</wp:posOffset>
              </wp:positionH>
              <wp:positionV relativeFrom="paragraph">
                <wp:posOffset>80010</wp:posOffset>
              </wp:positionV>
              <wp:extent cx="45085" cy="308610"/>
              <wp:effectExtent l="0" t="0" r="0" b="0"/>
              <wp:wrapNone/>
              <wp:docPr id="1740611750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30861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60B637" id="Rettangolo 1" o:spid="_x0000_s1026" style="position:absolute;margin-left:240.2pt;margin-top:6.3pt;width:3.55pt;height:24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" fillcolor="#c00000" stroked="f" strokeweight="1pt"/>
          </w:pict>
        </mc:Fallback>
      </mc:AlternateContent>
    </w:r>
    <w:r w:rsidR="00F71424">
      <w:rPr>
        <w:noProof/>
        <w:lang w:eastAsia="it-IT"/>
      </w:rPr>
      <w:drawing>
        <wp:anchor distT="0" distB="0" distL="114300" distR="114300" simplePos="0" relativeHeight="251672576" behindDoc="0" locked="0" layoutInCell="1" allowOverlap="1" wp14:anchorId="289EE09E" wp14:editId="336C0FD7">
          <wp:simplePos x="0" y="0"/>
          <wp:positionH relativeFrom="column">
            <wp:posOffset>-24055</wp:posOffset>
          </wp:positionH>
          <wp:positionV relativeFrom="paragraph">
            <wp:posOffset>21268</wp:posOffset>
          </wp:positionV>
          <wp:extent cx="2951627" cy="470801"/>
          <wp:effectExtent l="0" t="0" r="1270" b="0"/>
          <wp:wrapNone/>
          <wp:docPr id="124768350" name="Immagine 124768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076084" name="Immagine 15540760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404" cy="473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B09DFC" w14:textId="67538DEE" w:rsidR="00572E9F" w:rsidRDefault="00572E9F" w:rsidP="00572E9F">
    <w:pPr>
      <w:pStyle w:val="Intestazione"/>
    </w:pPr>
  </w:p>
  <w:p w14:paraId="5FA9892A" w14:textId="024798BA" w:rsidR="00572E9F" w:rsidRDefault="00572E9F" w:rsidP="00572E9F">
    <w:pPr>
      <w:pStyle w:val="Intestazione"/>
    </w:pPr>
  </w:p>
  <w:p w14:paraId="78A22C80" w14:textId="1A8AD5DC" w:rsidR="003D5EDE" w:rsidRPr="003D5EDE" w:rsidRDefault="003D5EDE" w:rsidP="00DC1449">
    <w:pPr>
      <w:pStyle w:val="Intestazione"/>
      <w:tabs>
        <w:tab w:val="clear" w:pos="9638"/>
        <w:tab w:val="left" w:pos="597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2C14" w14:textId="7512B20E" w:rsidR="00724E38" w:rsidRDefault="008235B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61A34547" wp14:editId="09A4DF2D">
          <wp:simplePos x="0" y="0"/>
          <wp:positionH relativeFrom="column">
            <wp:posOffset>7184</wp:posOffset>
          </wp:positionH>
          <wp:positionV relativeFrom="paragraph">
            <wp:posOffset>55245</wp:posOffset>
          </wp:positionV>
          <wp:extent cx="3014345" cy="340995"/>
          <wp:effectExtent l="0" t="0" r="0" b="1905"/>
          <wp:wrapNone/>
          <wp:docPr id="291309766" name="Immagine 291309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4345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A4C64D" w14:textId="1EFE5CBA" w:rsidR="00724E38" w:rsidRDefault="00724E38">
    <w:pPr>
      <w:pStyle w:val="Intestazione"/>
    </w:pPr>
  </w:p>
  <w:p w14:paraId="7EF5130B" w14:textId="7536CE1D" w:rsidR="00724E38" w:rsidRDefault="00724E38">
    <w:pPr>
      <w:pStyle w:val="Intestazione"/>
    </w:pPr>
  </w:p>
  <w:p w14:paraId="52AEC248" w14:textId="36A7AFDF" w:rsidR="00724E38" w:rsidRDefault="00724E38">
    <w:pPr>
      <w:pStyle w:val="Intestazione"/>
    </w:pPr>
  </w:p>
  <w:p w14:paraId="23D361A4" w14:textId="03CB2FD2" w:rsidR="00724E38" w:rsidRPr="00AD75C7" w:rsidRDefault="00724E38">
    <w:pPr>
      <w:pStyle w:val="Intestazione"/>
      <w:rPr>
        <w:color w:val="0076CC"/>
      </w:rPr>
    </w:pPr>
    <w:r w:rsidRPr="00AD75C7">
      <w:rPr>
        <w:color w:val="0076CC"/>
      </w:rPr>
      <w:t xml:space="preserve">Facoltà di </w:t>
    </w:r>
    <w:r w:rsidR="008235BA">
      <w:rPr>
        <w:color w:val="0076CC"/>
      </w:rPr>
      <w:t>Scienze della politica e delle dinamiche psico-sociali</w:t>
    </w:r>
  </w:p>
  <w:p w14:paraId="73321B76" w14:textId="77777777" w:rsidR="008235BA" w:rsidRPr="00724E38" w:rsidRDefault="008235BA">
    <w:pPr>
      <w:pStyle w:val="Intestazione"/>
      <w:rPr>
        <w:b/>
        <w:bCs/>
        <w:color w:val="0076CC"/>
      </w:rPr>
    </w:pPr>
  </w:p>
  <w:p w14:paraId="35E24CCF" w14:textId="3E0BF17F" w:rsidR="00724E38" w:rsidRDefault="00724E38">
    <w:pPr>
      <w:pStyle w:val="Intestazione"/>
    </w:pPr>
  </w:p>
  <w:p w14:paraId="55DD26A1" w14:textId="18B05A32" w:rsidR="00E66AA6" w:rsidRDefault="00E66A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0F0"/>
    <w:multiLevelType w:val="multilevel"/>
    <w:tmpl w:val="4206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823A4"/>
    <w:multiLevelType w:val="hybridMultilevel"/>
    <w:tmpl w:val="E99EE2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146A"/>
    <w:multiLevelType w:val="hybridMultilevel"/>
    <w:tmpl w:val="377E4886"/>
    <w:numStyleLink w:val="Stileimportato2"/>
  </w:abstractNum>
  <w:abstractNum w:abstractNumId="3" w15:restartNumberingAfterBreak="0">
    <w:nsid w:val="12341430"/>
    <w:multiLevelType w:val="hybridMultilevel"/>
    <w:tmpl w:val="9EDCF7AC"/>
    <w:lvl w:ilvl="0" w:tplc="BE00A8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F601E"/>
    <w:multiLevelType w:val="hybridMultilevel"/>
    <w:tmpl w:val="3A6A85AA"/>
    <w:styleLink w:val="Stileimportato3"/>
    <w:lvl w:ilvl="0" w:tplc="4282F12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184339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AC2123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44006F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17CE73A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FBC178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B3681C8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AB61F0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C58CAD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370F7346"/>
    <w:multiLevelType w:val="hybridMultilevel"/>
    <w:tmpl w:val="FD94A9EC"/>
    <w:numStyleLink w:val="Stileimportato1"/>
  </w:abstractNum>
  <w:abstractNum w:abstractNumId="6" w15:restartNumberingAfterBreak="0">
    <w:nsid w:val="39F1239A"/>
    <w:multiLevelType w:val="hybridMultilevel"/>
    <w:tmpl w:val="FD94A9EC"/>
    <w:styleLink w:val="Stileimportato1"/>
    <w:lvl w:ilvl="0" w:tplc="75AA85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F1AA6E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2120D6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B3C611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FB6B99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3BC924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31472F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B5857D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57A697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4B5969B6"/>
    <w:multiLevelType w:val="hybridMultilevel"/>
    <w:tmpl w:val="90C2D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627D0"/>
    <w:multiLevelType w:val="hybridMultilevel"/>
    <w:tmpl w:val="377E4886"/>
    <w:styleLink w:val="Stileimportato2"/>
    <w:lvl w:ilvl="0" w:tplc="C4E6401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3008D8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106DBC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B6AF722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B9A0CB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37E0C5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3C8510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FB6F62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33884D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9" w15:restartNumberingAfterBreak="0">
    <w:nsid w:val="63B56190"/>
    <w:multiLevelType w:val="hybridMultilevel"/>
    <w:tmpl w:val="133E8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027A8"/>
    <w:multiLevelType w:val="hybridMultilevel"/>
    <w:tmpl w:val="3A6A85AA"/>
    <w:numStyleLink w:val="Stileimportato3"/>
  </w:abstractNum>
  <w:abstractNum w:abstractNumId="11" w15:restartNumberingAfterBreak="0">
    <w:nsid w:val="75005FD5"/>
    <w:multiLevelType w:val="hybridMultilevel"/>
    <w:tmpl w:val="8E54C1B6"/>
    <w:styleLink w:val="Stileimportato4"/>
    <w:lvl w:ilvl="0" w:tplc="D9F04C7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CC06CA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1A4C1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BA6BA8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AAECD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FE7D62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50D1D2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041754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80F52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7827FB3"/>
    <w:multiLevelType w:val="hybridMultilevel"/>
    <w:tmpl w:val="8E54C1B6"/>
    <w:numStyleLink w:val="Stileimportato4"/>
  </w:abstractNum>
  <w:num w:numId="1" w16cid:durableId="1381897999">
    <w:abstractNumId w:val="1"/>
  </w:num>
  <w:num w:numId="2" w16cid:durableId="1331445699">
    <w:abstractNumId w:val="9"/>
  </w:num>
  <w:num w:numId="3" w16cid:durableId="1928995224">
    <w:abstractNumId w:val="7"/>
  </w:num>
  <w:num w:numId="4" w16cid:durableId="2018724619">
    <w:abstractNumId w:val="0"/>
  </w:num>
  <w:num w:numId="5" w16cid:durableId="314992230">
    <w:abstractNumId w:val="3"/>
  </w:num>
  <w:num w:numId="6" w16cid:durableId="1369254155">
    <w:abstractNumId w:val="6"/>
  </w:num>
  <w:num w:numId="7" w16cid:durableId="1698577311">
    <w:abstractNumId w:val="5"/>
  </w:num>
  <w:num w:numId="8" w16cid:durableId="1382245592">
    <w:abstractNumId w:val="8"/>
  </w:num>
  <w:num w:numId="9" w16cid:durableId="660696341">
    <w:abstractNumId w:val="2"/>
  </w:num>
  <w:num w:numId="10" w16cid:durableId="474881805">
    <w:abstractNumId w:val="4"/>
  </w:num>
  <w:num w:numId="11" w16cid:durableId="439181480">
    <w:abstractNumId w:val="10"/>
  </w:num>
  <w:num w:numId="12" w16cid:durableId="11808546">
    <w:abstractNumId w:val="11"/>
  </w:num>
  <w:num w:numId="13" w16cid:durableId="209460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EB"/>
    <w:rsid w:val="0002145D"/>
    <w:rsid w:val="00060A2C"/>
    <w:rsid w:val="00074D5F"/>
    <w:rsid w:val="000C3A46"/>
    <w:rsid w:val="000E5A94"/>
    <w:rsid w:val="0013264F"/>
    <w:rsid w:val="001531AF"/>
    <w:rsid w:val="00192DA2"/>
    <w:rsid w:val="001C51A2"/>
    <w:rsid w:val="001C5B8C"/>
    <w:rsid w:val="00234535"/>
    <w:rsid w:val="0023458B"/>
    <w:rsid w:val="0029114A"/>
    <w:rsid w:val="002F4BFC"/>
    <w:rsid w:val="00336C35"/>
    <w:rsid w:val="00363CE2"/>
    <w:rsid w:val="00373E01"/>
    <w:rsid w:val="0038421E"/>
    <w:rsid w:val="003D5EDE"/>
    <w:rsid w:val="003F20F7"/>
    <w:rsid w:val="00437DE3"/>
    <w:rsid w:val="00485DE4"/>
    <w:rsid w:val="004C699F"/>
    <w:rsid w:val="00536C83"/>
    <w:rsid w:val="00572E9F"/>
    <w:rsid w:val="005A61EC"/>
    <w:rsid w:val="00617742"/>
    <w:rsid w:val="006511DA"/>
    <w:rsid w:val="00656B8C"/>
    <w:rsid w:val="0065745A"/>
    <w:rsid w:val="006C49D5"/>
    <w:rsid w:val="00707CEB"/>
    <w:rsid w:val="00724E38"/>
    <w:rsid w:val="00727F27"/>
    <w:rsid w:val="00735D39"/>
    <w:rsid w:val="007E1B44"/>
    <w:rsid w:val="007E7CB7"/>
    <w:rsid w:val="0081596A"/>
    <w:rsid w:val="008235BA"/>
    <w:rsid w:val="00834DED"/>
    <w:rsid w:val="00841C37"/>
    <w:rsid w:val="008C3DBF"/>
    <w:rsid w:val="008D608E"/>
    <w:rsid w:val="008E5AA3"/>
    <w:rsid w:val="00962296"/>
    <w:rsid w:val="00966A6C"/>
    <w:rsid w:val="00A1117F"/>
    <w:rsid w:val="00A2144C"/>
    <w:rsid w:val="00A301B1"/>
    <w:rsid w:val="00AD75C7"/>
    <w:rsid w:val="00AF5353"/>
    <w:rsid w:val="00B07553"/>
    <w:rsid w:val="00BC1279"/>
    <w:rsid w:val="00BD11C3"/>
    <w:rsid w:val="00C57B3F"/>
    <w:rsid w:val="00CE292E"/>
    <w:rsid w:val="00CF26CA"/>
    <w:rsid w:val="00D1679C"/>
    <w:rsid w:val="00D367D6"/>
    <w:rsid w:val="00D951E0"/>
    <w:rsid w:val="00DC1449"/>
    <w:rsid w:val="00E073AE"/>
    <w:rsid w:val="00E66AA6"/>
    <w:rsid w:val="00E759AC"/>
    <w:rsid w:val="00E964FC"/>
    <w:rsid w:val="00E96984"/>
    <w:rsid w:val="00EE2C16"/>
    <w:rsid w:val="00EE7A32"/>
    <w:rsid w:val="00F54230"/>
    <w:rsid w:val="00F71424"/>
    <w:rsid w:val="00F77D46"/>
    <w:rsid w:val="00FB1943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DE0EE"/>
  <w15:chartTrackingRefBased/>
  <w15:docId w15:val="{C9118909-49CF-4700-9312-714F3CF2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AF5353"/>
    <w:pPr>
      <w:spacing w:after="0"/>
      <w:jc w:val="both"/>
    </w:pPr>
    <w:rPr>
      <w:color w:val="262626" w:themeColor="text1" w:themeTint="D9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92DA2"/>
    <w:pPr>
      <w:jc w:val="center"/>
      <w:outlineLvl w:val="0"/>
    </w:pPr>
    <w:rPr>
      <w:rFonts w:ascii="Garamond" w:hAnsi="Garamond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rsid w:val="008D608E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192DA2"/>
    <w:pPr>
      <w:spacing w:before="120"/>
      <w:outlineLvl w:val="2"/>
    </w:pPr>
    <w:rPr>
      <w:rFonts w:ascii="Garamond" w:hAnsi="Garamond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7A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5ED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EDE"/>
  </w:style>
  <w:style w:type="paragraph" w:styleId="Pidipagina">
    <w:name w:val="footer"/>
    <w:basedOn w:val="Normale"/>
    <w:link w:val="PidipaginaCarattere"/>
    <w:uiPriority w:val="99"/>
    <w:unhideWhenUsed/>
    <w:rsid w:val="003D5ED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EDE"/>
  </w:style>
  <w:style w:type="paragraph" w:customStyle="1" w:styleId="Paragrafobase">
    <w:name w:val="[Paragrafo base]"/>
    <w:basedOn w:val="Normale"/>
    <w:uiPriority w:val="99"/>
    <w:rsid w:val="003D5ED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92DA2"/>
    <w:rPr>
      <w:rFonts w:ascii="Garamond" w:hAnsi="Garamond"/>
      <w:b/>
      <w:color w:val="262626" w:themeColor="text1" w:themeTint="D9"/>
      <w:sz w:val="24"/>
      <w:szCs w:val="24"/>
    </w:rPr>
  </w:style>
  <w:style w:type="paragraph" w:styleId="Nessunaspaziatura">
    <w:name w:val="No Spacing"/>
    <w:uiPriority w:val="1"/>
    <w:qFormat/>
    <w:rsid w:val="008235BA"/>
    <w:pPr>
      <w:spacing w:after="0" w:line="240" w:lineRule="auto"/>
      <w:jc w:val="both"/>
    </w:pPr>
    <w:rPr>
      <w:color w:val="262626" w:themeColor="text1" w:themeTint="D9"/>
      <w:sz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608E"/>
    <w:rPr>
      <w:rFonts w:asciiTheme="majorHAnsi" w:eastAsiaTheme="majorEastAsia" w:hAnsiTheme="majorHAnsi" w:cstheme="majorBidi"/>
      <w:b/>
      <w:color w:val="262626" w:themeColor="text1" w:themeTint="D9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92DA2"/>
    <w:rPr>
      <w:rFonts w:ascii="Garamond" w:eastAsiaTheme="majorEastAsia" w:hAnsi="Garamond" w:cstheme="majorBidi"/>
      <w:b/>
      <w:color w:val="262626" w:themeColor="text1" w:themeTint="D9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235BA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8C3DBF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kern w:val="0"/>
      <w:sz w:val="32"/>
      <w:szCs w:val="28"/>
      <w:lang w:val="en-US"/>
      <w14:ligatures w14:val="none"/>
    </w:rPr>
  </w:style>
  <w:style w:type="paragraph" w:styleId="NormaleWeb">
    <w:name w:val="Normal (Web)"/>
    <w:basedOn w:val="Normale"/>
    <w:unhideWhenUsed/>
    <w:rsid w:val="008C3D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it-IT"/>
      <w14:ligatures w14:val="none"/>
    </w:rPr>
  </w:style>
  <w:style w:type="paragraph" w:styleId="Sommario2">
    <w:name w:val="toc 2"/>
    <w:basedOn w:val="Normale"/>
    <w:next w:val="Normale"/>
    <w:autoRedefine/>
    <w:uiPriority w:val="39"/>
    <w:unhideWhenUsed/>
    <w:rsid w:val="008C3DBF"/>
    <w:pPr>
      <w:spacing w:after="100" w:line="276" w:lineRule="auto"/>
      <w:ind w:left="220"/>
      <w:jc w:val="left"/>
    </w:pPr>
    <w:rPr>
      <w:rFonts w:ascii="Calibri" w:eastAsia="Calibri" w:hAnsi="Calibri"/>
      <w:color w:val="auto"/>
      <w:kern w:val="0"/>
      <w:sz w:val="22"/>
      <w:lang w:val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C3DBF"/>
    <w:rPr>
      <w:color w:val="0563C1" w:themeColor="hyperlink"/>
      <w:u w:val="single"/>
    </w:rPr>
  </w:style>
  <w:style w:type="character" w:styleId="Riferimentointenso">
    <w:name w:val="Intense Reference"/>
    <w:uiPriority w:val="32"/>
    <w:qFormat/>
    <w:rsid w:val="00192DA2"/>
    <w:rPr>
      <w:rFonts w:ascii="Calibri" w:hAnsi="Calibri" w:cs="Open Sans"/>
      <w:b/>
      <w:bCs/>
      <w:color w:val="0076CC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7A32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Testonotaapidipagina">
    <w:name w:val="footnote text"/>
    <w:link w:val="TestonotaapidipaginaCarattere"/>
    <w:rsid w:val="00EE7A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  <w:lang w:val="en-US"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E7A32"/>
    <w:rPr>
      <w:rFonts w:ascii="Calibri" w:eastAsia="Calibri" w:hAnsi="Calibri" w:cs="Calibri"/>
      <w:color w:val="000000"/>
      <w:kern w:val="0"/>
      <w:sz w:val="20"/>
      <w:szCs w:val="20"/>
      <w:u w:color="000000"/>
      <w:bdr w:val="nil"/>
      <w:lang w:val="en-US" w:eastAsia="it-IT"/>
      <w14:ligatures w14:val="none"/>
    </w:rPr>
  </w:style>
  <w:style w:type="numbering" w:customStyle="1" w:styleId="Stileimportato1">
    <w:name w:val="Stile importato 1"/>
    <w:rsid w:val="00EE7A32"/>
    <w:pPr>
      <w:numPr>
        <w:numId w:val="6"/>
      </w:numPr>
    </w:pPr>
  </w:style>
  <w:style w:type="numbering" w:customStyle="1" w:styleId="Stileimportato2">
    <w:name w:val="Stile importato 2"/>
    <w:rsid w:val="00EE7A32"/>
    <w:pPr>
      <w:numPr>
        <w:numId w:val="8"/>
      </w:numPr>
    </w:pPr>
  </w:style>
  <w:style w:type="numbering" w:customStyle="1" w:styleId="Stileimportato3">
    <w:name w:val="Stile importato 3"/>
    <w:rsid w:val="00EE7A32"/>
    <w:pPr>
      <w:numPr>
        <w:numId w:val="10"/>
      </w:numPr>
    </w:pPr>
  </w:style>
  <w:style w:type="character" w:styleId="Enfasigrassetto">
    <w:name w:val="Strong"/>
    <w:rsid w:val="00EE7A32"/>
    <w:rPr>
      <w:rFonts w:ascii="Calibri" w:hAnsi="Calibri"/>
      <w:b/>
      <w:bCs/>
      <w:lang w:val="it-IT"/>
    </w:rPr>
  </w:style>
  <w:style w:type="numbering" w:customStyle="1" w:styleId="Stileimportato4">
    <w:name w:val="Stile importato 4"/>
    <w:rsid w:val="00EE7A32"/>
    <w:pPr>
      <w:numPr>
        <w:numId w:val="12"/>
      </w:numPr>
    </w:pPr>
  </w:style>
  <w:style w:type="paragraph" w:customStyle="1" w:styleId="Didefault">
    <w:name w:val="Di default"/>
    <w:rsid w:val="00EE7A3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Normal2">
    <w:name w:val="Normal 2"/>
    <w:rsid w:val="00EE7A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Arial Unicode MS" w:hAnsi="Calibri" w:cs="Arial Unicode MS"/>
      <w:color w:val="000000"/>
      <w:kern w:val="0"/>
      <w:u w:color="000000"/>
      <w:bdr w:val="nil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FABIO FOSCA</dc:creator>
  <cp:keywords/>
  <dc:description/>
  <cp:lastModifiedBy>Luca Simione</cp:lastModifiedBy>
  <cp:revision>5</cp:revision>
  <cp:lastPrinted>2023-05-11T13:12:00Z</cp:lastPrinted>
  <dcterms:created xsi:type="dcterms:W3CDTF">2026-02-03T12:15:00Z</dcterms:created>
  <dcterms:modified xsi:type="dcterms:W3CDTF">2026-02-05T17:15:00Z</dcterms:modified>
</cp:coreProperties>
</file>